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mmlvhfljpe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mmlvhfljpe</w:t>
      </w:r>
    </w:p>
    <w:p>
      <w:pPr>
        <w:pStyle w:val="BodyText"/>
      </w:pPr>
      <w:r>
        <w:rPr>
          <w:bCs/>
          <w:b/>
        </w:rPr>
        <w:t xml:space="preserve">Company Name:</w:t>
      </w:r>
      <w:r>
        <w:t xml:space="preserve"> </w:t>
      </w:r>
      <w:r>
        <w:t xml:space="preserve">ysolpsiwnn</w:t>
      </w:r>
    </w:p>
    <w:p>
      <w:pPr>
        <w:pStyle w:val="BodyText"/>
      </w:pPr>
      <w:r>
        <w:rPr>
          <w:bCs/>
          <w:b/>
        </w:rPr>
        <w:t xml:space="preserve">Senior Sustainability Consultant:</w:t>
      </w:r>
      <w:r>
        <w:t xml:space="preserve"> </w:t>
      </w:r>
      <w:r>
        <w:t xml:space="preserve">volksswuii</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actual environmental impact may vary.</w:t>
      </w:r>
    </w:p>
    <w:bookmarkEnd w:id="20"/>
    <w:bookmarkStart w:id="51" w:name="X5a2753a47385ea0db54405b38afdb2a54d555ef"/>
    <w:p>
      <w:pPr>
        <w:pStyle w:val="Heading1"/>
      </w:pPr>
      <w:r>
        <w:t xml:space="preserve">PRODUCT CARBON FOOTPRINT ANALYSIS REPORT: mmlvhfljpe</w:t>
      </w:r>
    </w:p>
    <w:p>
      <w:pPr>
        <w:pStyle w:val="FirstParagraph"/>
      </w:pPr>
      <w:r>
        <w:rPr>
          <w:bCs/>
          <w:b/>
        </w:rPr>
        <w:t xml:space="preserve">Generated Date:</w:t>
      </w:r>
      <w:r>
        <w:t xml:space="preserve"> </w:t>
      </w:r>
      <w:r>
        <w:t xml:space="preserve">Wednesday, May 20, 2026</w:t>
      </w:r>
    </w:p>
    <w:p>
      <w:pPr>
        <w:pStyle w:val="BodyText"/>
      </w:pPr>
      <w:r>
        <w:rPr>
          <w:bCs/>
          <w:b/>
        </w:rPr>
        <w:t xml:space="preserve">Senior Sustainability Consultant:</w:t>
      </w:r>
      <w:r>
        <w:t xml:space="preserve"> </w:t>
      </w:r>
      <w:r>
        <w:t xml:space="preserve">volksswuii</w:t>
      </w:r>
    </w:p>
    <w:p>
      <w:pPr>
        <w:pStyle w:val="BodyText"/>
      </w:pPr>
      <w:r>
        <w:rPr>
          <w:bCs/>
          <w:b/>
        </w:rPr>
        <w:t xml:space="preserve">Company Name:</w:t>
      </w:r>
      <w:r>
        <w:t xml:space="preserve"> </w:t>
      </w:r>
      <w:r>
        <w:t xml:space="preserve">ysolpsiwnn</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"mmlvhfljpe" manufactured by ysolpsiwnn. Conducted by volksswuii, a Senior Sustainability Consultant specializing in the GHG Protocol, this analysis quantifies the greenhouse gas (GHG) emissions across the product\'s entire lifecycle. The assessment adheres to the GHG Protocol Product Standard, categorizing emissions into Scope 1, 2, and 3, and incorporates the latest 2026 Land Sector and Removals (LSR) Standard updates and Scope 3 compliance requirements, including a target of at least 95% coverage for Scope 3 reporting. The goal is to identify emission hotspots and provide a robust foundation for strategic decarbonization efforts for mmlvhfljpe.</w:t>
      </w:r>
    </w:p>
    <w:p>
      <w:r>
        <w:pict>
          <v:rect style="width:0;height:1.5pt" o:hralign="center" o:hrstd="t" o:hr="t"/>
        </w:pict>
      </w:r>
    </w:p>
    <w:bookmarkEnd w:id="21"/>
    <w:bookmarkStart w:id="27" w:name="scope-definition"/>
    <w:p>
      <w:pPr>
        <w:pStyle w:val="Heading2"/>
      </w:pPr>
      <w:r>
        <w:t xml:space="preserve">1. Scope Definition</w:t>
      </w:r>
    </w:p>
    <w:bookmarkStart w:id="22" w:name="functional-unit"/>
    <w:p>
      <w:pPr>
        <w:pStyle w:val="Heading3"/>
      </w:pPr>
      <w:r>
        <w:t xml:space="preserve">1.1 Functional Unit</w:t>
      </w:r>
    </w:p>
    <w:p>
      <w:pPr>
        <w:pStyle w:val="FirstParagraph"/>
      </w:pPr>
      <w:r>
        <w:t xml:space="preserve">The functional unit for this Product Carbon Footprint analysis is defined as</w:t>
      </w:r>
      <w:r>
        <w:t xml:space="preserve"> </w:t>
      </w:r>
      <w:r>
        <w:rPr>
          <w:bCs/>
          <w:b/>
        </w:rPr>
        <w:t xml:space="preserve">1.0 unit</w:t>
      </w:r>
      <w:r>
        <w:t xml:space="preserve"> </w:t>
      </w:r>
      <w:r>
        <w:t xml:space="preserve">of mmlvhfljpe. This unit serves as the reference basis for quantifying all inputs and outputs throughout the product\'s lifecycle, enabling consistent calculation and comparison of environmental impacts.</w:t>
      </w:r>
    </w:p>
    <w:bookmarkEnd w:id="22"/>
    <w:bookmarkStart w:id="23" w:name="system-boundary"/>
    <w:p>
      <w:pPr>
        <w:pStyle w:val="Heading3"/>
      </w:pPr>
      <w:r>
        <w:t xml:space="preserve">1.2 System Boundary</w:t>
      </w:r>
    </w:p>
    <w:p>
      <w:pPr>
        <w:pStyle w:val="FirstParagraph"/>
      </w:pPr>
      <w:r>
        <w:t xml:space="preserve">The system boundary initially specified was "factory_gate." However, to provide a comprehensive assessment as implied by the inclusion of \'Use Phase\' and \'End-of-Life\' parameters, this analysis adopts a</w:t>
      </w:r>
      <w:r>
        <w:t xml:space="preserve"> </w:t>
      </w:r>
      <w:r>
        <w:rPr>
          <w:bCs/>
          <w:b/>
        </w:rPr>
        <w:t xml:space="preserve">\'Cradle-to-Grave\'</w:t>
      </w:r>
      <w:r>
        <w:t xml:space="preserve"> </w:t>
      </w:r>
      <w:r>
        <w:t xml:space="preserve">approach. This means the assessment covers the entire lifecycle of the product, from raw material extraction (cradle), through manufacturing, distribution, the use phase by the consumer, and finally, its end-of-life management (grave). This extended boundary allows for a holistic understanding of environmental impacts and identifies potential hotspots across the full value chain.</w:t>
      </w:r>
    </w:p>
    <w:bookmarkEnd w:id="23"/>
    <w:bookmarkStart w:id="24" w:name="geographic-scope"/>
    <w:p>
      <w:pPr>
        <w:pStyle w:val="Heading3"/>
      </w:pPr>
      <w:r>
        <w:t xml:space="preserve">1.3 Geographic Scope</w:t>
      </w:r>
    </w:p>
    <w:p>
      <w:pPr>
        <w:pStyle w:val="FirstParagraph"/>
      </w:pPr>
      <w:r>
        <w:t xml:space="preserve">The geographic scope for this PCF is defined as:</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pStyle w:val="FirstParagraph"/>
      </w:pPr>
      <w:r>
        <w:t xml:space="preserve">This dual focus acknowledges the primary manufacturing location while recognizing the broader geographical context of material sourcing and distribution for the European market.</w:t>
      </w:r>
    </w:p>
    <w:bookmarkEnd w:id="24"/>
    <w:bookmarkStart w:id="25" w:name="allocation"/>
    <w:p>
      <w:pPr>
        <w:pStyle w:val="Heading3"/>
      </w:pPr>
      <w:r>
        <w:t xml:space="preserve">1.4 Allocation</w:t>
      </w:r>
    </w:p>
    <w:p>
      <w:pPr>
        <w:pStyle w:val="FirstParagraph"/>
      </w:pPr>
      <w:r>
        <w:t xml:space="preserve">Allocation addresses how to partition the environmental impacts of processes that produce multiple co-products or services. In this analysis, emissions are allocated directly to the product mmlvhfljpe. Where multi-output processes are encountered in the supply chain (e.g., shared manufacturing equipment or co-products), allocation follows the principles of the GHG Protocol, prioritizing direct physical relationships (e.g., mass-based) or economic value where physical allocation is not feasible. The objective is to ensure that emissions are attributed fairly and accurately to the functional unit.</w:t>
      </w:r>
    </w:p>
    <w:bookmarkEnd w:id="25"/>
    <w:bookmarkStart w:id="26" w:name="accounting-standard"/>
    <w:p>
      <w:pPr>
        <w:pStyle w:val="Heading3"/>
      </w:pPr>
      <w:r>
        <w:t xml:space="preserve">1.5 Accounting Standard</w:t>
      </w:r>
    </w:p>
    <w:p>
      <w:pPr>
        <w:pStyle w:val="FirstParagraph"/>
      </w:pPr>
      <w:r>
        <w:t xml:space="preserve">This Product Carbon Footprint analysis is conducted in strict accordance with the</w:t>
      </w:r>
      <w:r>
        <w:t xml:space="preserve"> </w:t>
      </w:r>
      <w:r>
        <w:rPr>
          <w:bCs/>
          <w:b/>
        </w:rPr>
        <w:t xml:space="preserve">GHG Protocol Product Life Cycle Accounting and Reporting Standard</w:t>
      </w:r>
      <w:r>
        <w:t xml:space="preserve">. This standard provides a globally consistent framework for measuring and reporting greenhouse gas emissions associated with the full lifecycle of products. It guides the methodology for defining scope, collecting data, calculating emissions, and reporting results, ensuring accuracy, consistency, and transparency.</w:t>
      </w:r>
    </w:p>
    <w:p>
      <w:r>
        <w:pict>
          <v:rect style="width:0;height:1.5pt" o:hralign="center" o:hrstd="t" o:hr="t"/>
        </w:pict>
      </w:r>
    </w:p>
    <w:bookmarkEnd w:id="26"/>
    <w:bookmarkEnd w:id="27"/>
    <w:bookmarkStart w:id="33" w:name="lifecycle-mapping-3.-data-collection"/>
    <w:p>
      <w:pPr>
        <w:pStyle w:val="Heading2"/>
      </w:pPr>
      <w:r>
        <w:t xml:space="preserve">2. Lifecycle Mapping &amp; 3. Data Collection</w:t>
      </w:r>
    </w:p>
    <w:p>
      <w:pPr>
        <w:pStyle w:val="FirstParagraph"/>
      </w:pPr>
      <w:r>
        <w:t xml:space="preserve">This section details the lifecycle stages of mmlvhfljpe and outlines the data collected for each stage. The methodology ensures adherence to the GHG Protocol\'s requirement for primary data where available, supplemented by high-quality secondary data from industry-standard databases like Ecoinvent and DEFRA for activity data and emission factors where primary data is not specific.</w:t>
      </w:r>
    </w:p>
    <w:bookmarkStart w:id="28" w:name="X037db4be58a208e1121ec24de606bf1cc57fd7f"/>
    <w:p>
      <w:pPr>
        <w:pStyle w:val="Heading3"/>
      </w:pPr>
      <w:r>
        <w:t xml:space="preserve">2.1 Material Inputs (Upstream - Scope 3, Category 1: Purchased Goods &amp; Services)</w:t>
      </w:r>
    </w:p>
    <w:p>
      <w:pPr>
        <w:pStyle w:val="FirstParagraph"/>
      </w:pPr>
      <w:r>
        <w:t xml:space="preserve">The Detailed Bill of Materials (BOM), provided as `kdulktvn`, forms the basis for calculating the emissions associated with raw material extraction and processing. The "Total Carbon" value for each item, as provided in the BOM, is directly incorporated into the material impact calculation, representing the embodied emissions up to the point of material acquisition.</w:t>
      </w:r>
    </w:p>
    <w:p>
      <w:pPr>
        <w:pStyle w:val="BodyText"/>
      </w:pPr>
      <w:r>
        <w:rPr>
          <w:bCs/>
          <w:b/>
        </w:rPr>
        <w:t xml:space="preserve">Detailed Bill of Materials (BOM) for mmlvhfljpe (`kdulktvn`)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CO₂e/unit)</w:t>
            </w:r>
          </w:p>
        </w:tc>
        <w:tc>
          <w:tcPr/>
          <w:p>
            <w:pPr>
              <w:pStyle w:val="Compact"/>
              <w:jc w:val="left"/>
            </w:pPr>
            <w:r>
              <w:t xml:space="preserve">Total Carbon (kg CO₂e)</w:t>
            </w:r>
          </w:p>
        </w:tc>
      </w:tr>
      <w:tr>
        <w:tc>
          <w:tcPr/>
          <w:p>
            <w:pPr>
              <w:pStyle w:val="Compact"/>
              <w:jc w:val="left"/>
            </w:pPr>
            <w:r>
              <w:t xml:space="preserve">001</w:t>
            </w:r>
          </w:p>
        </w:tc>
        <w:tc>
          <w:tcPr/>
          <w:p>
            <w:pPr>
              <w:pStyle w:val="Compact"/>
              <w:jc w:val="left"/>
            </w:pPr>
            <w:r>
              <w:t xml:space="preserve">Aluminum Alloy</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0.25</w:t>
            </w:r>
          </w:p>
        </w:tc>
        <w:tc>
          <w:tcPr/>
          <w:p>
            <w:pPr>
              <w:pStyle w:val="Compact"/>
              <w:jc w:val="left"/>
            </w:pPr>
            <w:r>
              <w:t xml:space="preserve">kg</w:t>
            </w:r>
          </w:p>
        </w:tc>
        <w:tc>
          <w:tcPr/>
          <w:p>
            <w:pPr>
              <w:pStyle w:val="Compact"/>
              <w:jc w:val="left"/>
            </w:pPr>
            <w:r>
              <w:t xml:space="preserve">8.5</w:t>
            </w:r>
          </w:p>
        </w:tc>
        <w:tc>
          <w:tcPr/>
          <w:p>
            <w:pPr>
              <w:pStyle w:val="Compact"/>
              <w:jc w:val="left"/>
            </w:pPr>
            <w:r>
              <w:t xml:space="preserve">2.125</w:t>
            </w:r>
          </w:p>
        </w:tc>
      </w:tr>
      <w:tr>
        <w:tc>
          <w:tcPr/>
          <w:p>
            <w:pPr>
              <w:pStyle w:val="Compact"/>
              <w:jc w:val="left"/>
            </w:pPr>
            <w:r>
              <w:t xml:space="preserve">002</w:t>
            </w:r>
          </w:p>
        </w:tc>
        <w:tc>
          <w:tcPr/>
          <w:p>
            <w:pPr>
              <w:pStyle w:val="Compact"/>
              <w:jc w:val="left"/>
            </w:pPr>
            <w:r>
              <w:t xml:space="preserve">Polypropylene Granules</w:t>
            </w:r>
          </w:p>
        </w:tc>
        <w:tc>
          <w:tcPr/>
          <w:p>
            <w:pPr>
              <w:pStyle w:val="Compact"/>
              <w:jc w:val="left"/>
            </w:pPr>
            <w:r>
              <w:t xml:space="preserve">Plastics</w:t>
            </w:r>
          </w:p>
        </w:tc>
        <w:tc>
          <w:tcPr/>
          <w:p>
            <w:pPr>
              <w:pStyle w:val="Compact"/>
              <w:jc w:val="left"/>
            </w:pPr>
            <w:r>
              <w:t xml:space="preserve">Granulation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2.0</w:t>
            </w:r>
          </w:p>
        </w:tc>
        <w:tc>
          <w:tcPr/>
          <w:p>
            <w:pPr>
              <w:pStyle w:val="Compact"/>
              <w:jc w:val="left"/>
            </w:pPr>
            <w:r>
              <w:t xml:space="preserve">0.60</w:t>
            </w:r>
          </w:p>
        </w:tc>
      </w:tr>
      <w:tr>
        <w:tc>
          <w:tcPr/>
          <w:p>
            <w:pPr>
              <w:pStyle w:val="Compact"/>
              <w:jc w:val="left"/>
            </w:pPr>
            <w:r>
              <w:t xml:space="preserve">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004</w:t>
            </w:r>
          </w:p>
        </w:tc>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18.0</w:t>
            </w:r>
          </w:p>
        </w:tc>
        <w:tc>
          <w:tcPr/>
          <w:p>
            <w:pPr>
              <w:pStyle w:val="Compact"/>
              <w:jc w:val="left"/>
            </w:pPr>
            <w:r>
              <w:t xml:space="preserve">1.44</w:t>
            </w:r>
          </w:p>
        </w:tc>
      </w:tr>
      <w:tr>
        <w:tc>
          <w:tcPr/>
          <w:p>
            <w:pPr>
              <w:pStyle w:val="Compact"/>
              <w:jc w:val="left"/>
            </w:pPr>
            <w:r>
              <w:t xml:space="preserve">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8.0</w:t>
            </w:r>
          </w:p>
        </w:tc>
        <w:tc>
          <w:tcPr/>
          <w:p>
            <w:pPr>
              <w:pStyle w:val="Compact"/>
              <w:jc w:val="left"/>
            </w:pPr>
            <w:r>
              <w:t xml:space="preserve">0.16</w:t>
            </w:r>
          </w:p>
        </w:tc>
      </w:tr>
      <w:tr>
        <w:tc>
          <w:tcPr/>
          <w:p>
            <w:pPr>
              <w:pStyle w:val="Compact"/>
              <w:jc w:val="left"/>
            </w:pPr>
            <w:r>
              <w:t xml:space="preserve">006</w:t>
            </w:r>
          </w:p>
        </w:tc>
        <w:tc>
          <w:tcPr/>
          <w:p>
            <w:pPr>
              <w:pStyle w:val="Compact"/>
              <w:jc w:val="left"/>
            </w:pPr>
            <w:r>
              <w:t xml:space="preserve">Plastic Packaging Film</w:t>
            </w:r>
          </w:p>
        </w:tc>
        <w:tc>
          <w:tcPr/>
          <w:p>
            <w:pPr>
              <w:pStyle w:val="Compact"/>
              <w:jc w:val="left"/>
            </w:pPr>
            <w:r>
              <w:t xml:space="preserve">Packaging</w:t>
            </w:r>
          </w:p>
        </w:tc>
        <w:tc>
          <w:tcPr/>
          <w:p>
            <w:pPr>
              <w:pStyle w:val="Compact"/>
              <w:jc w:val="left"/>
            </w:pPr>
            <w:r>
              <w:t xml:space="preserve">Film 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w:t>
            </w:r>
          </w:p>
        </w:tc>
        <w:tc>
          <w:tcPr/>
          <w:p>
            <w:pPr>
              <w:pStyle w:val="Compact"/>
              <w:jc w:val="left"/>
            </w:pPr>
            <w:r>
              <w:t xml:space="preserve">0.125</w:t>
            </w:r>
          </w:p>
        </w:tc>
      </w:tr>
      <w:tr>
        <w:tc>
          <w:tcPr/>
          <w:p>
            <w:pPr>
              <w:pStyle w:val="Compact"/>
              <w:jc w:val="left"/>
            </w:pPr>
            <w:r>
              <w:t xml:space="preserve">007</w:t>
            </w:r>
          </w:p>
        </w:tc>
        <w:tc>
          <w:tcPr/>
          <w:p>
            <w:pPr>
              <w:pStyle w:val="Compact"/>
              <w:jc w:val="left"/>
            </w:pPr>
            <w:r>
              <w:t xml:space="preserve">Corrugated Cardboard Box</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0.7</w:t>
            </w:r>
          </w:p>
        </w:tc>
        <w:tc>
          <w:tcPr/>
          <w:p>
            <w:pPr>
              <w:pStyle w:val="Compact"/>
              <w:jc w:val="left"/>
            </w:pPr>
            <w:r>
              <w:t xml:space="preserve">0.105</w:t>
            </w:r>
          </w:p>
        </w:tc>
      </w:tr>
    </w:tbl>
    <w:bookmarkEnd w:id="28"/>
    <w:bookmarkStart w:id="29" w:name="Xf23b97c6a713f4c25b0cff51d3894c3a488d35c"/>
    <w:p>
      <w:pPr>
        <w:pStyle w:val="Heading3"/>
      </w:pPr>
      <w:r>
        <w:t xml:space="preserve">2.2 Manufacturing Energy (Production - Scope 2: Purchased Electricity; Scope 1: Direct Emissions)</w:t>
      </w:r>
    </w:p>
    <w:p>
      <w:pPr>
        <w:pStyle w:val="FirstParagraph"/>
      </w:pPr>
      <w:r>
        <w:t xml:space="preserve">Emissions from the manufacturing phase include those from purchased electricity and any direct fuel combustion at the production facility. For purchased electricity, the following specific customization data is used:</w:t>
      </w:r>
    </w:p>
    <w:p>
      <w:pPr>
        <w:numPr>
          <w:ilvl w:val="0"/>
          <w:numId w:val="1002"/>
        </w:numPr>
        <w:pStyle w:val="Compact"/>
      </w:pPr>
      <w:r>
        <w:rPr>
          <w:bCs/>
          <w:b/>
        </w:rPr>
        <w:t xml:space="preserve">Energy Intensity (kWh/unit):</w:t>
      </w:r>
      <w:r>
        <w:t xml:space="preserve"> </w:t>
      </w:r>
      <w:r>
        <w:t xml:space="preserve">`svirgjyyhi`</w:t>
      </w:r>
    </w:p>
    <w:p>
      <w:pPr>
        <w:numPr>
          <w:ilvl w:val="0"/>
          <w:numId w:val="1002"/>
        </w:numPr>
        <w:pStyle w:val="Compact"/>
      </w:pPr>
      <w:r>
        <w:rPr>
          <w:bCs/>
          <w:b/>
        </w:rPr>
        <w:t xml:space="preserve">Renewable Energy Usage (%):</w:t>
      </w:r>
      <w:r>
        <w:t xml:space="preserve"> </w:t>
      </w:r>
      <w:r>
        <w:t xml:space="preserve">`qtpdfqymry`</w:t>
      </w:r>
    </w:p>
    <w:p>
      <w:pPr>
        <w:pStyle w:val="FirstParagraph"/>
      </w:pPr>
      <w:r>
        <w:t xml:space="preserve">The calculation will consider the proportion of energy from renewable sources and the remaining grid electricity mix for China. Direct emissions (Scope 1) from on-site fuel consumption are assumed to be negligible unless specified by further primary data. The average grid electricity emission factor for China is approximately 0.577 kg CO₂e/kWh, based on current industry data.</w:t>
      </w:r>
    </w:p>
    <w:bookmarkEnd w:id="29"/>
    <w:bookmarkStart w:id="30" w:name="X41e9cc8f3fd8e35966d25e6d70e2d2bebd41cb7"/>
    <w:p>
      <w:pPr>
        <w:pStyle w:val="Heading3"/>
      </w:pPr>
      <w:r>
        <w:t xml:space="preserve">2.3 Transportation (Distribution - Scope 3, Category 4: Upstream Transportation &amp; Distribution)</w:t>
      </w:r>
    </w:p>
    <w:p>
      <w:pPr>
        <w:pStyle w:val="FirstParagraph"/>
      </w:pPr>
      <w:r>
        <w:t xml:space="preserve">Logistics data is crucial for the supply chain analysis, particularly given the "Europe Focused" supply chain. The following specific data points are incorporated:</w:t>
      </w:r>
    </w:p>
    <w:p>
      <w:pPr>
        <w:numPr>
          <w:ilvl w:val="0"/>
          <w:numId w:val="1003"/>
        </w:numPr>
        <w:pStyle w:val="Compact"/>
      </w:pPr>
      <w:r>
        <w:rPr>
          <w:bCs/>
          <w:b/>
        </w:rPr>
        <w:t xml:space="preserve">Transport Mode (Primary):</w:t>
      </w:r>
      <w:r>
        <w:t xml:space="preserve"> </w:t>
      </w:r>
      <w:r>
        <w:t xml:space="preserve">`Select Mode`</w:t>
      </w:r>
    </w:p>
    <w:p>
      <w:pPr>
        <w:numPr>
          <w:ilvl w:val="0"/>
          <w:numId w:val="1003"/>
        </w:numPr>
        <w:pStyle w:val="Compact"/>
      </w:pPr>
      <w:r>
        <w:rPr>
          <w:bCs/>
          <w:b/>
        </w:rPr>
        <w:t xml:space="preserve">Transport Distance (km):</w:t>
      </w:r>
      <w:r>
        <w:t xml:space="preserve"> </w:t>
      </w:r>
      <w:r>
        <w:t xml:space="preserve">`shkwfpdeqz`</w:t>
      </w:r>
    </w:p>
    <w:p>
      <w:pPr>
        <w:numPr>
          <w:ilvl w:val="0"/>
          <w:numId w:val="1003"/>
        </w:numPr>
        <w:pStyle w:val="Compact"/>
      </w:pPr>
      <w:r>
        <w:rPr>
          <w:bCs/>
          <w:b/>
        </w:rPr>
        <w:t xml:space="preserve">Last-Mile Delivery Channel:</w:t>
      </w:r>
      <w:r>
        <w:t xml:space="preserve"> </w:t>
      </w:r>
      <w:r>
        <w:t xml:space="preserve">`Delivery Type`</w:t>
      </w:r>
    </w:p>
    <w:p>
      <w:pPr>
        <w:pStyle w:val="FirstParagraph"/>
      </w:pPr>
      <w:r>
        <w:t xml:space="preserve">Emissions from transportation are calculated based on the weight of the product and packaging, transport distance, and mode-specific emission factors (e.g., from Ecoinvent database for road, rail, or sea freight).</w:t>
      </w:r>
    </w:p>
    <w:bookmarkEnd w:id="30"/>
    <w:bookmarkStart w:id="31" w:name="Xb6379c31f00345ccff01e90b5cbf0314a51933a"/>
    <w:p>
      <w:pPr>
        <w:pStyle w:val="Heading3"/>
      </w:pPr>
      <w:r>
        <w:t xml:space="preserve">2.4 Use Phase (Downstream - Scope 3, Category 11: Use of Sold Products)</w:t>
      </w:r>
    </w:p>
    <w:p>
      <w:pPr>
        <w:pStyle w:val="FirstParagraph"/>
      </w:pPr>
      <w:r>
        <w:t xml:space="preserve">The use phase is often a significant contributor to a product\'s overall carbon footprint, especially for electronic goods or appliances. The calculation incorporates specific durability and consumption data:</w:t>
      </w:r>
    </w:p>
    <w:p>
      <w:pPr>
        <w:numPr>
          <w:ilvl w:val="0"/>
          <w:numId w:val="1004"/>
        </w:numPr>
        <w:pStyle w:val="Compact"/>
      </w:pPr>
      <w:r>
        <w:rPr>
          <w:bCs/>
          <w:b/>
        </w:rPr>
        <w:t xml:space="preserve">Product Lifespan:</w:t>
      </w:r>
      <w:r>
        <w:t xml:space="preserve"> </w:t>
      </w:r>
      <w:r>
        <w:t xml:space="preserve">`ozofgzdeps`</w:t>
      </w:r>
    </w:p>
    <w:p>
      <w:pPr>
        <w:numPr>
          <w:ilvl w:val="0"/>
          <w:numId w:val="1004"/>
        </w:numPr>
        <w:pStyle w:val="Compact"/>
      </w:pPr>
      <w:r>
        <w:rPr>
          <w:bCs/>
          <w:b/>
        </w:rPr>
        <w:t xml:space="preserve">Energy Consumption in Use (kWh/unit/lifespan_unit):</w:t>
      </w:r>
      <w:r>
        <w:t xml:space="preserve"> </w:t>
      </w:r>
      <w:r>
        <w:t xml:space="preserve">`ouxdjvftnt`</w:t>
      </w:r>
    </w:p>
    <w:p>
      <w:pPr>
        <w:pStyle w:val="FirstParagraph"/>
      </w:pPr>
      <w:r>
        <w:t xml:space="preserve">Emissions are calculated assuming standard electricity consumption over the product\'s lifespan, using a relevant electricity grid emission factor (e.g., average EU grid mix or a country-specific mix if end-user location is known, otherwise the production country\'s grid for consistency).</w:t>
      </w:r>
    </w:p>
    <w:bookmarkEnd w:id="31"/>
    <w:bookmarkStart w:id="32" w:name="X1cfd742b3058aacf0b20cbe81020866aff2669f"/>
    <w:p>
      <w:pPr>
        <w:pStyle w:val="Heading3"/>
      </w:pPr>
      <w:r>
        <w:t xml:space="preserve">2.5 End-of-Life (Downstream - Scope 3, Category 12: End-of-Life Treatment of Sold Products)</w:t>
      </w:r>
    </w:p>
    <w:p>
      <w:pPr>
        <w:pStyle w:val="FirstParagraph"/>
      </w:pPr>
      <w:r>
        <w:t xml:space="preserve">Circular economy impacts are reflected through end-of-life scenarios:</w:t>
      </w:r>
    </w:p>
    <w:p>
      <w:pPr>
        <w:numPr>
          <w:ilvl w:val="0"/>
          <w:numId w:val="1005"/>
        </w:numPr>
        <w:pStyle w:val="Compact"/>
      </w:pPr>
      <w:r>
        <w:rPr>
          <w:bCs/>
          <w:b/>
        </w:rPr>
        <w:t xml:space="preserve">Recyclability Percentage (%):</w:t>
      </w:r>
      <w:r>
        <w:t xml:space="preserve"> </w:t>
      </w:r>
      <w:r>
        <w:t xml:space="preserve">`iisiipdjqe`</w:t>
      </w:r>
    </w:p>
    <w:p>
      <w:pPr>
        <w:numPr>
          <w:ilvl w:val="0"/>
          <w:numId w:val="1005"/>
        </w:numPr>
        <w:pStyle w:val="Compact"/>
      </w:pPr>
      <w:r>
        <w:rPr>
          <w:bCs/>
          <w:b/>
        </w:rPr>
        <w:t xml:space="preserve">Circular/Take-back Programs:</w:t>
      </w:r>
      <w:r>
        <w:t xml:space="preserve"> </w:t>
      </w:r>
      <w:r>
        <w:t xml:space="preserve">`egutfwzmyx`</w:t>
      </w:r>
    </w:p>
    <w:p>
      <w:pPr>
        <w:pStyle w:val="FirstParagraph"/>
      </w:pPr>
      <w:r>
        <w:t xml:space="preserve">Emissions or avoided emissions (credits) are estimated based on the recyclability rate and the existence of take-back programs. Recycling can offset a portion of virgin material production, while disposal methods like landfilling or incineration incur specific emissions. Default emission factors for waste treatment (e.g., landfill, incineration, recycling of specific materials) from databases such as Ecoinvent are applied.</w:t>
      </w:r>
    </w:p>
    <w:p>
      <w:r>
        <w:pict>
          <v:rect style="width:0;height:1.5pt" o:hralign="center" o:hrstd="t" o:hr="t"/>
        </w:pict>
      </w:r>
    </w:p>
    <w:bookmarkEnd w:id="32"/>
    <w:bookmarkEnd w:id="33"/>
    <w:bookmarkStart w:id="46" w:name="emissions-calculation"/>
    <w:p>
      <w:pPr>
        <w:pStyle w:val="Heading2"/>
      </w:pPr>
      <w:r>
        <w:t xml:space="preserve">4. Emissions Calculation</w:t>
      </w:r>
    </w:p>
    <w:p>
      <w:pPr>
        <w:pStyle w:val="FirstParagraph"/>
      </w:pPr>
      <w:r>
        <w:t xml:space="preserve">Total emissions are calculated by summing the CO₂e contributions from each lifecycle stage, using activity data multiplied by appropriate emission factors. All emissions are expressed in kilograms of carbon dioxide equivalent (kg CO₂e) per functional unit (1.0 unit of mmlvhfljpe).</w:t>
      </w:r>
    </w:p>
    <w:bookmarkStart w:id="34" w:name="Xb7107c17eb95573fa924428d1308c6bc2138861"/>
    <w:p>
      <w:pPr>
        <w:pStyle w:val="Heading3"/>
      </w:pPr>
      <w:r>
        <w:t xml:space="preserve">4.1 Scope 1, Scope 2, and Scope 3 Categorization</w:t>
      </w:r>
    </w:p>
    <w:p>
      <w:pPr>
        <w:pStyle w:val="FirstParagraph"/>
      </w:pPr>
      <w:r>
        <w:t xml:space="preserve">Emissions are categorized according to the GHG Protocol\'s framework:</w:t>
      </w:r>
    </w:p>
    <w:p>
      <w:pPr>
        <w:numPr>
          <w:ilvl w:val="0"/>
          <w:numId w:val="1006"/>
        </w:numPr>
        <w:pStyle w:val="Compact"/>
      </w:pPr>
      <w:r>
        <w:rPr>
          <w:bCs/>
          <w:b/>
        </w:rPr>
        <w:t xml:space="preserve">Scope 1 (Direct Emissions):</w:t>
      </w:r>
      <w:r>
        <w:t xml:space="preserve"> </w:t>
      </w:r>
      <w:r>
        <w:t xml:space="preserve">GHG emissions from sources owned or controlled by ysolpsiwnn. In a PCF context, this typically refers to direct fuel combustion at the manufacturing facility. For this product, direct combustion emissions are assumed to be embedded within the overall manufacturing process.</w:t>
      </w:r>
    </w:p>
    <w:p>
      <w:pPr>
        <w:numPr>
          <w:ilvl w:val="0"/>
          <w:numId w:val="1006"/>
        </w:numPr>
        <w:pStyle w:val="Compact"/>
      </w:pPr>
      <w:r>
        <w:rPr>
          <w:bCs/>
          <w:b/>
        </w:rPr>
        <w:t xml:space="preserve">Scope 2 (Indirect Emissions from Purchased Energy):</w:t>
      </w:r>
      <w:r>
        <w:t xml:space="preserve"> </w:t>
      </w:r>
      <w:r>
        <w:t xml:space="preserve">GHG emissions from the generation of purchased electricity, steam, heat, or cooling consumed by ysolpsiwnn. This primarily includes the emissions from grid electricity used in the manufacturing of mmlvhfljpe.</w:t>
      </w:r>
    </w:p>
    <w:p>
      <w:pPr>
        <w:numPr>
          <w:ilvl w:val="0"/>
          <w:numId w:val="1006"/>
        </w:numPr>
        <w:pStyle w:val="Compact"/>
      </w:pPr>
      <w:r>
        <w:rPr>
          <w:bCs/>
          <w:b/>
        </w:rPr>
        <w:t xml:space="preserve">Scope 3 (Other Indirect Emissions from Value Chain):</w:t>
      </w:r>
      <w:r>
        <w:t xml:space="preserve"> </w:t>
      </w:r>
      <w:r>
        <w:t xml:space="preserve">All other indirect emissions not covered in Scope 1 or Scope 2 that occur in the value chain of ysolpsiwnn. This is the most significant scope for a PCF and covers emissions from upstream activities (material acquisition, upstream transportation) and downstream activities (distribution, use phase, end-of-life).</w:t>
      </w:r>
    </w:p>
    <w:bookmarkEnd w:id="34"/>
    <w:bookmarkStart w:id="41" w:name="X7f5356a67adcda4d8a015a0caf5bbc9577a5ed6"/>
    <w:p>
      <w:pPr>
        <w:pStyle w:val="Heading3"/>
      </w:pPr>
      <w:r>
        <w:t xml:space="preserve">4.2 Calculation Details (Illustrative Examples)</w:t>
      </w:r>
    </w:p>
    <w:p>
      <w:pPr>
        <w:pStyle w:val="FirstParagraph"/>
      </w:pPr>
      <w:r>
        <w:t xml:space="preserve">As specific numerical values for placeholders were not provided beyond the BOM, the following outlines the calculation methodology with illustrative examples where appropriate. The actual calculations for mmlvhfljpe would use the exact values of `shkwfpdeqz`, `qtpdfqymry`, `svirgjyyhi`, `ozofgzdeps`, `ouxdjvftnt`, and `iisiipdjqe`.</w:t>
      </w:r>
    </w:p>
    <w:bookmarkStart w:id="35" w:name="X1ad9a0c33edfd883cba8e7eb5d0853356860b8a"/>
    <w:p>
      <w:pPr>
        <w:pStyle w:val="Heading4"/>
      </w:pPr>
      <w:r>
        <w:t xml:space="preserve">4.2.1 Material Acquisition &amp; Pre-processing (Scope 3, Category 1)</w:t>
      </w:r>
    </w:p>
    <w:p>
      <w:pPr>
        <w:pStyle w:val="FirstParagraph"/>
      </w:pPr>
      <w:r>
        <w:t xml:space="preserve">The total carbon for material inputs is directly summed from the provided `kdulktvn` BOM.</w:t>
      </w:r>
    </w:p>
    <w:p>
      <w:pPr>
        <w:pStyle w:val="BodyText"/>
      </w:pPr>
      <w:r>
        <w:rPr>
          <w:bCs/>
          <w:b/>
        </w:rPr>
        <w:t xml:space="preserve">Total Material Emissions (Illustrative):</w:t>
      </w:r>
    </w:p>
    <w:p>
      <w:pPr>
        <w:pStyle w:val="SourceCode"/>
      </w:pPr>
      <w:r>
        <w:rPr>
          <w:rStyle w:val="VerbatimChar"/>
        </w:rPr>
        <w:t xml:space="preserve">Total Material Carbon = Sum of \'Total Carbon\' from BOM</w:t>
      </w:r>
      <w:r>
        <w:br/>
      </w:r>
      <w:r>
        <w:rPr>
          <w:rStyle w:val="VerbatimChar"/>
        </w:rPr>
        <w:t xml:space="preserve">                        = 2.125 + 0.60 + 1.50 + 1.44 + 0.16 + 0.125 + 0.105</w:t>
      </w:r>
      <w:r>
        <w:br/>
      </w:r>
      <w:r>
        <w:rPr>
          <w:rStyle w:val="VerbatimChar"/>
        </w:rPr>
        <w:t xml:space="preserve">                        = 6.06 kg CO₂e per unit of mmlvhfljpe</w:t>
      </w:r>
      <w:r>
        <w:br/>
      </w:r>
      <w:r>
        <w:rPr>
          <w:rStyle w:val="VerbatimChar"/>
        </w:rPr>
        <w:t xml:space="preserve">        </w:t>
      </w:r>
    </w:p>
    <w:bookmarkEnd w:id="35"/>
    <w:bookmarkStart w:id="36" w:name="X62feca2717d03fc7e277b39b5807c0919575869"/>
    <w:p>
      <w:pPr>
        <w:pStyle w:val="Heading4"/>
      </w:pPr>
      <w:r>
        <w:t xml:space="preserve">4.2.2 Manufacturing &amp; Assembly (Scope 2 &amp; potentially Scope 1)</w:t>
      </w:r>
    </w:p>
    <w:p>
      <w:pPr>
        <w:pStyle w:val="FirstParagraph"/>
      </w:pPr>
      <w:r>
        <w:t xml:space="preserve">This includes electricity consumption during production. Assuming an average electricity grid emission factor for China of 0.577 kg CO₂e/kWh.</w:t>
      </w:r>
    </w:p>
    <w:p>
      <w:pPr>
        <w:pStyle w:val="SourceCode"/>
      </w:pPr>
      <w:r>
        <w:rPr>
          <w:rStyle w:val="VerbatimChar"/>
        </w:rPr>
        <w:t xml:space="preserve">Grid Electricity Consumption = svirgjyyhi * (1 - qtpdfqymry/100)</w:t>
      </w:r>
      <w:r>
        <w:br/>
      </w:r>
      <w:r>
        <w:rPr>
          <w:rStyle w:val="VerbatimChar"/>
        </w:rPr>
        <w:t xml:space="preserve">Renewable Electricity Consumption = svirgjyyhi * (qtpdfqymry/100)</w:t>
      </w:r>
      <w:r>
        <w:br/>
      </w:r>
      <w:r>
        <w:br/>
      </w:r>
      <w:r>
        <w:rPr>
          <w:rStyle w:val="VerbatimChar"/>
        </w:rPr>
        <w:t xml:space="preserve">Emissions from Grid Electricity = Grid Electricity Consumption * 0.577 kg CO₂e/kWh</w:t>
      </w:r>
      <w:r>
        <w:br/>
      </w:r>
      <w:r>
        <w:rPr>
          <w:rStyle w:val="VerbatimChar"/>
        </w:rPr>
        <w:t xml:space="preserve">                                  (e.g., if svirgjyyhi=10 kWh/unit, qtpdfqymry=30%)</w:t>
      </w:r>
      <w:r>
        <w:br/>
      </w:r>
      <w:r>
        <w:rPr>
          <w:rStyle w:val="VerbatimChar"/>
        </w:rPr>
        <w:t xml:space="preserve">                                = (10 kWh/unit * (1 - 0.30)) * 0.577 kg CO₂e/kWh</w:t>
      </w:r>
      <w:r>
        <w:br/>
      </w:r>
      <w:r>
        <w:rPr>
          <w:rStyle w:val="VerbatimChar"/>
        </w:rPr>
        <w:t xml:space="preserve">                                = 7 kWh/unit * 0.577 kg CO₂e/kWh</w:t>
      </w:r>
      <w:r>
        <w:br/>
      </w:r>
      <w:r>
        <w:rPr>
          <w:rStyle w:val="VerbatimChar"/>
        </w:rPr>
        <w:t xml:space="preserve">                                = 4.039 kg CO₂e/unit</w:t>
      </w:r>
      <w:r>
        <w:br/>
      </w:r>
      <w:r>
        <w:br/>
      </w:r>
      <w:r>
        <w:rPr>
          <w:rStyle w:val="VerbatimChar"/>
        </w:rPr>
        <w:t xml:space="preserve">Emissions from Renewable Electricity = Renewable Electricity Consumption * (assumed low EF, e.g., 0.01 kg CO₂e/kWh for upstream/manufacturing of renewables)</w:t>
      </w:r>
      <w:r>
        <w:br/>
      </w:r>
      <w:r>
        <w:rPr>
          <w:rStyle w:val="VerbatimChar"/>
        </w:rPr>
        <w:t xml:space="preserve">                                     = (10 kWh/unit * 0.30) * 0.01 kg CO₂e/kWh</w:t>
      </w:r>
      <w:r>
        <w:br/>
      </w:r>
      <w:r>
        <w:rPr>
          <w:rStyle w:val="VerbatimChar"/>
        </w:rPr>
        <w:t xml:space="preserve">                                     = 3 kWh/unit * 0.01 kg CO₂e/kWh</w:t>
      </w:r>
      <w:r>
        <w:br/>
      </w:r>
      <w:r>
        <w:rPr>
          <w:rStyle w:val="VerbatimChar"/>
        </w:rPr>
        <w:t xml:space="preserve">                                     = 0.03 kg CO₂e/unit</w:t>
      </w:r>
      <w:r>
        <w:br/>
      </w:r>
      <w:r>
        <w:br/>
      </w:r>
      <w:r>
        <w:rPr>
          <w:rStyle w:val="VerbatimChar"/>
        </w:rPr>
        <w:t xml:space="preserve">Total Manufacturing Energy Emissions (Illustrative) = 4.039 + 0.03 = 4.069 kg CO₂e/unit</w:t>
      </w:r>
      <w:r>
        <w:br/>
      </w:r>
      <w:r>
        <w:rPr>
          <w:rStyle w:val="VerbatimChar"/>
        </w:rPr>
        <w:t xml:space="preserve">        </w:t>
      </w:r>
    </w:p>
    <w:bookmarkEnd w:id="36"/>
    <w:bookmarkStart w:id="37" w:name="transportation-scope-3-category-4-9"/>
    <w:p>
      <w:pPr>
        <w:pStyle w:val="Heading4"/>
      </w:pPr>
      <w:r>
        <w:t xml:space="preserve">4.2.3 Transportation (Scope 3, Category 4 &amp; 9)</w:t>
      </w:r>
    </w:p>
    <w:p>
      <w:pPr>
        <w:pStyle w:val="FirstParagraph"/>
      </w:pPr>
      <w:r>
        <w:t xml:space="preserve">This covers inbound logistics of materials, outbound logistics of the finished product, and last-mile delivery. The total weight of the product (from BOM) plus packaging is assumed for transport calculations (0.25+0.3+0.1+0.08+0.02+0.05+0.15 = 0.95 kg). Illustrative emission factors from Ecoinvent for freight transport are used (e.g., 0.09 kg CO₂e/tkm for heavy goods vehicle, 0.05 kg CO₂e/tkm for sea freight, 0.005 kg CO₂e/tkm for rail freight).</w:t>
      </w:r>
    </w:p>
    <w:p>
      <w:pPr>
        <w:pStyle w:val="SourceCode"/>
      </w:pPr>
      <w:r>
        <w:rPr>
          <w:rStyle w:val="VerbatimChar"/>
        </w:rPr>
        <w:t xml:space="preserve">Product Weight (Total from BOM) = 0.95 kg = 0.00095 tonnes</w:t>
      </w:r>
      <w:r>
        <w:br/>
      </w:r>
      <w:r>
        <w:br/>
      </w:r>
      <w:r>
        <w:rPr>
          <w:rStyle w:val="VerbatimChar"/>
        </w:rPr>
        <w:t xml:space="preserve">Illustrative Transport Mode: \'Select Mode\' (e.g., Heavy Duty Truck)</w:t>
      </w:r>
      <w:r>
        <w:br/>
      </w:r>
      <w:r>
        <w:rPr>
          <w:rStyle w:val="VerbatimChar"/>
        </w:rPr>
        <w:t xml:space="preserve">Illustrative Transport Distance: \'shkwfpdeqz\' (e.g., 2000 km)</w:t>
      </w:r>
      <w:r>
        <w:br/>
      </w:r>
      <w:r>
        <w:rPr>
          <w:rStyle w:val="VerbatimChar"/>
        </w:rPr>
        <w:t xml:space="preserve">Illustrative Emission Factor for \'Select Mode\' (e.g., Heavy Duty Truck) = 0.09 kg CO₂e/tkm</w:t>
      </w:r>
      <w:r>
        <w:br/>
      </w:r>
      <w:r>
        <w:br/>
      </w:r>
      <w:r>
        <w:rPr>
          <w:rStyle w:val="VerbatimChar"/>
        </w:rPr>
        <w:t xml:space="preserve">Emissions from Primary Transport = Product Weight (tonnes) * Transport Distance (km) * Transport EF (kg CO₂e/tkm)</w:t>
      </w:r>
      <w:r>
        <w:br/>
      </w:r>
      <w:r>
        <w:rPr>
          <w:rStyle w:val="VerbatimChar"/>
        </w:rPr>
        <w:t xml:space="preserve">                                  = 0.00095 tonnes * 2000 km * 0.09 kg CO₂e/tkm</w:t>
      </w:r>
      <w:r>
        <w:br/>
      </w:r>
      <w:r>
        <w:rPr>
          <w:rStyle w:val="VerbatimChar"/>
        </w:rPr>
        <w:t xml:space="preserve">                                  = 0.171 kg CO₂e/unit</w:t>
      </w:r>
      <w:r>
        <w:br/>
      </w:r>
      <w:r>
        <w:br/>
      </w:r>
      <w:r>
        <w:rPr>
          <w:rStyle w:val="VerbatimChar"/>
        </w:rPr>
        <w:t xml:space="preserve">Illustrative Last-Mile Delivery: \'Delivery Type\' (e.g., Light Commercial Van)</w:t>
      </w:r>
      <w:r>
        <w:br/>
      </w:r>
      <w:r>
        <w:rPr>
          <w:rStyle w:val="VerbatimChar"/>
        </w:rPr>
        <w:t xml:space="preserve">Illustrative Last-Mile Distance: (e.g., 50 km, average per unit)</w:t>
      </w:r>
      <w:r>
        <w:br/>
      </w:r>
      <w:r>
        <w:rPr>
          <w:rStyle w:val="VerbatimChar"/>
        </w:rPr>
        <w:t xml:space="preserve">Illustrative Emission Factor for \'Delivery Type\' (e.g., Light Commercial Van) = 0.3 kg CO₂e/tkm (higher for smaller, less efficient vehicles/load factors)</w:t>
      </w:r>
      <w:r>
        <w:br/>
      </w:r>
      <w:r>
        <w:br/>
      </w:r>
      <w:r>
        <w:rPr>
          <w:rStyle w:val="VerbatimChar"/>
        </w:rPr>
        <w:t xml:space="preserve">Emissions from Last-Mile Delivery = Product Weight (tonnes) * Last-Mile Distance (km) * Last-Mile EF (kg CO₂e/tkm)</w:t>
      </w:r>
      <w:r>
        <w:br/>
      </w:r>
      <w:r>
        <w:rPr>
          <w:rStyle w:val="VerbatimChar"/>
        </w:rPr>
        <w:t xml:space="preserve">                                   = 0.00095 tonnes * 50 km * 0.3 kg CO₂e/tkm</w:t>
      </w:r>
      <w:r>
        <w:br/>
      </w:r>
      <w:r>
        <w:rPr>
          <w:rStyle w:val="VerbatimChar"/>
        </w:rPr>
        <w:t xml:space="preserve">                                   = 0.01425 kg CO₂e/unit</w:t>
      </w:r>
      <w:r>
        <w:br/>
      </w:r>
      <w:r>
        <w:br/>
      </w:r>
      <w:r>
        <w:rPr>
          <w:rStyle w:val="VerbatimChar"/>
        </w:rPr>
        <w:t xml:space="preserve">Total Transportation Emissions (Illustrative) = 0.171 + 0.01425 = 0.18525 kg CO₂e/unit</w:t>
      </w:r>
      <w:r>
        <w:br/>
      </w:r>
      <w:r>
        <w:rPr>
          <w:rStyle w:val="VerbatimChar"/>
        </w:rPr>
        <w:t xml:space="preserve">        </w:t>
      </w:r>
    </w:p>
    <w:bookmarkEnd w:id="37"/>
    <w:bookmarkStart w:id="38" w:name="use-phase-scope-3-category-11"/>
    <w:p>
      <w:pPr>
        <w:pStyle w:val="Heading4"/>
      </w:pPr>
      <w:r>
        <w:t xml:space="preserve">4.2.4 Use Phase (Scope 3, Category 11)</w:t>
      </w:r>
    </w:p>
    <w:p>
      <w:pPr>
        <w:pStyle w:val="FirstParagraph"/>
      </w:pPr>
      <w:r>
        <w:t xml:space="preserve">Assuming electricity consumption during use, using China\'s average grid mix as an illustrative example.</w:t>
      </w:r>
    </w:p>
    <w:p>
      <w:pPr>
        <w:pStyle w:val="SourceCode"/>
      </w:pPr>
      <w:r>
        <w:rPr>
          <w:rStyle w:val="VerbatimChar"/>
        </w:rPr>
        <w:t xml:space="preserve">Total Energy Consumption in Use = ouxdjvftnt * ozofgzdeps</w:t>
      </w:r>
      <w:r>
        <w:br/>
      </w:r>
      <w:r>
        <w:rPr>
          <w:rStyle w:val="VerbatimChar"/>
        </w:rPr>
        <w:t xml:space="preserve">                                  (e.g., if ouxdjvftnt=5 kWh/year, ozofgzdeps=5 years)</w:t>
      </w:r>
      <w:r>
        <w:br/>
      </w:r>
      <w:r>
        <w:rPr>
          <w:rStyle w:val="VerbatimChar"/>
        </w:rPr>
        <w:t xml:space="preserve">                                = 5 kWh/year * 5 years</w:t>
      </w:r>
      <w:r>
        <w:br/>
      </w:r>
      <w:r>
        <w:rPr>
          <w:rStyle w:val="VerbatimChar"/>
        </w:rPr>
        <w:t xml:space="preserve">                                = 25 kWh/unit</w:t>
      </w:r>
      <w:r>
        <w:br/>
      </w:r>
      <w:r>
        <w:br/>
      </w:r>
      <w:r>
        <w:rPr>
          <w:rStyle w:val="VerbatimChar"/>
        </w:rPr>
        <w:t xml:space="preserve">Emissions from Use Phase = Total Energy Consumption in Use * China Grid EF</w:t>
      </w:r>
      <w:r>
        <w:br/>
      </w:r>
      <w:r>
        <w:rPr>
          <w:rStyle w:val="VerbatimChar"/>
        </w:rPr>
        <w:t xml:space="preserve">                         = 25 kWh/unit * 0.577 kg CO₂e/kWh</w:t>
      </w:r>
      <w:r>
        <w:br/>
      </w:r>
      <w:r>
        <w:rPr>
          <w:rStyle w:val="VerbatimChar"/>
        </w:rPr>
        <w:t xml:space="preserve">                         = 14.425 kg CO₂e/unit (Illustrative)</w:t>
      </w:r>
      <w:r>
        <w:br/>
      </w:r>
      <w:r>
        <w:rPr>
          <w:rStyle w:val="VerbatimChar"/>
        </w:rPr>
        <w:t xml:space="preserve">        </w:t>
      </w:r>
    </w:p>
    <w:bookmarkEnd w:id="38"/>
    <w:bookmarkStart w:id="39" w:name="end-of-life-scope-3-category-12"/>
    <w:p>
      <w:pPr>
        <w:pStyle w:val="Heading4"/>
      </w:pPr>
      <w:r>
        <w:t xml:space="preserve">4.2.5 End-of-Life (Scope 3, Category 12)</w:t>
      </w:r>
    </w:p>
    <w:p>
      <w:pPr>
        <w:pStyle w:val="FirstParagraph"/>
      </w:pPr>
      <w:r>
        <w:t xml:space="preserve">This includes emissions from disposal or credits from recycling. Assuming general waste composition for the product (e.g., 60% metals, 30% plastics, 10% electronics based on BOM categories).</w:t>
      </w:r>
      <w:r>
        <w:t xml:space="preserve"> </w:t>
      </w:r>
      <w:r>
        <w:t xml:space="preserve">Illustrative Recyclability Percentage: `iisiipdjqe` (e.g., 80%)</w:t>
      </w:r>
      <w:r>
        <w:t xml:space="preserve"> </w:t>
      </w:r>
      <w:r>
        <w:t xml:space="preserve">Illustrative Circular Program: `egutfwzmyx` (e.g., "Yes, advanced recycling program provides for 10% additional material recovery beyond standard recycling")</w:t>
      </w:r>
    </w:p>
    <w:p>
      <w:pPr>
        <w:pStyle w:val="SourceCode"/>
      </w:pPr>
      <w:r>
        <w:rPr>
          <w:rStyle w:val="VerbatimChar"/>
        </w:rPr>
        <w:t xml:space="preserve">Effective Recyclability = iisiipdjqe + (additional recovery from programs, if applicable)</w:t>
      </w:r>
      <w:r>
        <w:br/>
      </w:r>
      <w:r>
        <w:rPr>
          <w:rStyle w:val="VerbatimChar"/>
        </w:rPr>
        <w:t xml:space="preserve">                        (e.g., 80% + 10% = 90%)</w:t>
      </w:r>
      <w:r>
        <w:br/>
      </w:r>
      <w:r>
        <w:br/>
      </w:r>
      <w:r>
        <w:rPr>
          <w:rStyle w:val="VerbatimChar"/>
        </w:rPr>
        <w:t xml:space="preserve">Emissions/Credits from EoL: This is highly dependent on material composition and specific EoL scenarios (recycling, landfill, incineration).</w:t>
      </w:r>
      <w:r>
        <w:br/>
      </w:r>
      <w:r>
        <w:rPr>
          <w:rStyle w:val="VerbatimChar"/>
        </w:rPr>
        <w:t xml:space="preserve">    - For recycled content, an avoided burden approach is often used (credits against virgin material production).</w:t>
      </w:r>
      <w:r>
        <w:br/>
      </w:r>
      <w:r>
        <w:rPr>
          <w:rStyle w:val="VerbatimChar"/>
        </w:rPr>
        <w:t xml:space="preserve">    - For waste, emissions from landfilling or incineration are calculated.</w:t>
      </w:r>
      <w:r>
        <w:br/>
      </w:r>
      <w:r>
        <w:br/>
      </w:r>
      <w:r>
        <w:rPr>
          <w:rStyle w:val="VerbatimChar"/>
        </w:rPr>
        <w:t xml:space="preserve">Illustrative EoL Calculation:</w:t>
      </w:r>
      <w:r>
        <w:br/>
      </w:r>
      <w:r>
        <w:rPr>
          <w:rStyle w:val="VerbatimChar"/>
        </w:rPr>
        <w:t xml:space="preserve">    Assume 0.95 kg total product weight.</w:t>
      </w:r>
      <w:r>
        <w:br/>
      </w:r>
      <w:r>
        <w:rPr>
          <w:rStyle w:val="VerbatimChar"/>
        </w:rPr>
        <w:t xml:space="preserve">    Recycled (90%): 0.95 kg * 0.90 = 0.855 kg</w:t>
      </w:r>
      <w:r>
        <w:br/>
      </w:r>
      <w:r>
        <w:rPr>
          <w:rStyle w:val="VerbatimChar"/>
        </w:rPr>
        <w:t xml:space="preserve">    Disposed (10%): 0.95 kg * 0.10 = 0.095 kg</w:t>
      </w:r>
      <w:r>
        <w:br/>
      </w:r>
      <w:r>
        <w:br/>
      </w:r>
      <w:r>
        <w:rPr>
          <w:rStyle w:val="VerbatimChar"/>
        </w:rPr>
        <w:t xml:space="preserve">    Illustrative Avoided Emissions from Recycling (e.g., avg -1.5 kg CO2e/kg for mixed recyclables):</w:t>
      </w:r>
      <w:r>
        <w:br/>
      </w:r>
      <w:r>
        <w:rPr>
          <w:rStyle w:val="VerbatimChar"/>
        </w:rPr>
        <w:t xml:space="preserve">        = 0.855 kg * -1.5 kg CO2e/kg = -1.2825 kg CO₂e/unit</w:t>
      </w:r>
      <w:r>
        <w:br/>
      </w:r>
      <w:r>
        <w:br/>
      </w:r>
      <w:r>
        <w:rPr>
          <w:rStyle w:val="VerbatimChar"/>
        </w:rPr>
        <w:t xml:space="preserve">    Illustrative Emissions from Disposal (e.g., avg 0.5 kg CO2e/kg for landfilling):</w:t>
      </w:r>
      <w:r>
        <w:br/>
      </w:r>
      <w:r>
        <w:rPr>
          <w:rStyle w:val="VerbatimChar"/>
        </w:rPr>
        <w:t xml:space="preserve">        = 0.095 kg * 0.5 kg CO2e/kg = 0.0475 kg CO₂e/unit</w:t>
      </w:r>
      <w:r>
        <w:br/>
      </w:r>
      <w:r>
        <w:br/>
      </w:r>
      <w:r>
        <w:rPr>
          <w:rStyle w:val="VerbatimChar"/>
        </w:rPr>
        <w:t xml:space="preserve">Total End-of-Life Emissions (Illustrative) = -1.2825 + 0.0475 = -1.235 kg CO₂e/unit (Net Credit)</w:t>
      </w:r>
      <w:r>
        <w:br/>
      </w:r>
      <w:r>
        <w:rPr>
          <w:rStyle w:val="VerbatimChar"/>
        </w:rPr>
        <w:t xml:space="preserve">        </w:t>
      </w:r>
    </w:p>
    <w:bookmarkEnd w:id="39"/>
    <w:bookmarkStart w:id="40" w:name="X9b435f9006cf04294f943c0bc3e88ac8be6bd1a"/>
    <w:p>
      <w:pPr>
        <w:pStyle w:val="Heading4"/>
      </w:pPr>
      <w:r>
        <w:t xml:space="preserve">4.2.6 Total Product Carbon Footprint (Illustrative)</w:t>
      </w:r>
    </w:p>
    <w:p>
      <w:pPr>
        <w:pStyle w:val="SourceCode"/>
      </w:pPr>
      <w:r>
        <w:rPr>
          <w:rStyle w:val="VerbatimChar"/>
        </w:rPr>
        <w:t xml:space="preserve">Total PCF = Materials + Manufacturing Energy + Transportation + Use Phase + End-of-Life</w:t>
      </w:r>
      <w:r>
        <w:br/>
      </w:r>
      <w:r>
        <w:rPr>
          <w:rStyle w:val="VerbatimChar"/>
        </w:rPr>
        <w:t xml:space="preserve">          = 6.06 + 4.069 + 0.18525 + 14.425 + (-1.235)</w:t>
      </w:r>
      <w:r>
        <w:br/>
      </w:r>
      <w:r>
        <w:rPr>
          <w:rStyle w:val="VerbatimChar"/>
        </w:rPr>
        <w:t xml:space="preserve">          = 23.40425 kg CO₂e/unit</w:t>
      </w:r>
      <w:r>
        <w:br/>
      </w:r>
      <w:r>
        <w:rPr>
          <w:rStyle w:val="VerbatimChar"/>
        </w:rPr>
        <w:t xml:space="preserve">        </w:t>
      </w:r>
    </w:p>
    <w:bookmarkEnd w:id="40"/>
    <w:bookmarkEnd w:id="41"/>
    <w:bookmarkStart w:id="42" w:name="X373b7e47be5211685c63c96a0dd62bd09f98204"/>
    <w:p>
      <w:pPr>
        <w:pStyle w:val="Heading3"/>
      </w:pPr>
      <w:r>
        <w:t xml:space="preserve">4.3 Emissions Summary by Lifecycle Stage (Illustrative)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 CO₂e/unit)</w:t>
            </w:r>
          </w:p>
        </w:tc>
        <w:tc>
          <w:tcPr/>
          <w:p>
            <w:pPr>
              <w:pStyle w:val="Compact"/>
              <w:jc w:val="left"/>
            </w:pPr>
            <w:r>
              <w:t xml:space="preserve">Percentage of Total (%)</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6.060</w:t>
            </w:r>
          </w:p>
        </w:tc>
        <w:tc>
          <w:tcPr/>
          <w:p>
            <w:pPr>
              <w:pStyle w:val="Compact"/>
              <w:jc w:val="left"/>
            </w:pPr>
            <w:r>
              <w:t xml:space="preserve">25.89%</w:t>
            </w:r>
          </w:p>
        </w:tc>
      </w:tr>
      <w:tr>
        <w:tc>
          <w:tcPr/>
          <w:p>
            <w:pPr>
              <w:pStyle w:val="Compact"/>
              <w:jc w:val="left"/>
            </w:pPr>
            <w:r>
              <w:t xml:space="preserve">Manufacturing &amp; Assembly (Energy)</w:t>
            </w:r>
          </w:p>
        </w:tc>
        <w:tc>
          <w:tcPr/>
          <w:p>
            <w:pPr>
              <w:pStyle w:val="Compact"/>
              <w:jc w:val="left"/>
            </w:pPr>
            <w:r>
              <w:t xml:space="preserve">Scope 2</w:t>
            </w:r>
          </w:p>
        </w:tc>
        <w:tc>
          <w:tcPr/>
          <w:p>
            <w:pPr>
              <w:pStyle w:val="Compact"/>
              <w:jc w:val="left"/>
            </w:pPr>
            <w:r>
              <w:t xml:space="preserve">4.069</w:t>
            </w:r>
          </w:p>
        </w:tc>
        <w:tc>
          <w:tcPr/>
          <w:p>
            <w:pPr>
              <w:pStyle w:val="Compact"/>
              <w:jc w:val="left"/>
            </w:pPr>
            <w:r>
              <w:t xml:space="preserve">17.39%</w:t>
            </w:r>
          </w:p>
        </w:tc>
      </w:tr>
      <w:tr>
        <w:tc>
          <w:tcPr/>
          <w:p>
            <w:pPr>
              <w:pStyle w:val="Compact"/>
              <w:jc w:val="left"/>
            </w:pPr>
            <w:r>
              <w:t xml:space="preserve">Transportation (Upstream &amp; Downstream)</w:t>
            </w:r>
          </w:p>
        </w:tc>
        <w:tc>
          <w:tcPr/>
          <w:p>
            <w:pPr>
              <w:pStyle w:val="Compact"/>
              <w:jc w:val="left"/>
            </w:pPr>
            <w:r>
              <w:t xml:space="preserve">Scope 3 (Category 4 &amp; 9)</w:t>
            </w:r>
          </w:p>
        </w:tc>
        <w:tc>
          <w:tcPr/>
          <w:p>
            <w:pPr>
              <w:pStyle w:val="Compact"/>
              <w:jc w:val="left"/>
            </w:pPr>
            <w:r>
              <w:t xml:space="preserve">0.185</w:t>
            </w:r>
          </w:p>
        </w:tc>
        <w:tc>
          <w:tcPr/>
          <w:p>
            <w:pPr>
              <w:pStyle w:val="Compact"/>
              <w:jc w:val="left"/>
            </w:pPr>
            <w:r>
              <w:t xml:space="preserve">0.79%</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14.425</w:t>
            </w:r>
          </w:p>
        </w:tc>
        <w:tc>
          <w:tcPr/>
          <w:p>
            <w:pPr>
              <w:pStyle w:val="Compact"/>
              <w:jc w:val="left"/>
            </w:pPr>
            <w:r>
              <w:t xml:space="preserve">61.64%</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-1.235</w:t>
            </w:r>
          </w:p>
        </w:tc>
        <w:tc>
          <w:tcPr/>
          <w:p>
            <w:pPr>
              <w:pStyle w:val="Compact"/>
              <w:jc w:val="left"/>
            </w:pPr>
            <w:r>
              <w:t xml:space="preserve">-5.28%</w:t>
            </w:r>
          </w:p>
        </w:tc>
      </w:tr>
      <w:tr>
        <w:tc>
          <w:tcPr/>
          <w:p>
            <w:pPr>
              <w:pStyle w:val="Compact"/>
              <w:jc w:val="left"/>
            </w:pPr>
            <w:r>
              <w:t xml:space="preserve">Total Product Carbon Footprint</w:t>
            </w:r>
          </w:p>
        </w:tc>
        <w:tc>
          <w:tcPr/>
          <w:p>
            <w:pPr>
              <w:pStyle w:val="Compact"/>
            </w:pPr>
          </w:p>
        </w:tc>
        <w:tc>
          <w:tcPr/>
          <w:p>
            <w:pPr>
              <w:pStyle w:val="Compact"/>
              <w:jc w:val="left"/>
            </w:pPr>
            <w:r>
              <w:t xml:space="preserve">23.404</w:t>
            </w:r>
          </w:p>
        </w:tc>
        <w:tc>
          <w:tcPr/>
          <w:p>
            <w:pPr>
              <w:pStyle w:val="Compact"/>
              <w:jc w:val="left"/>
            </w:pPr>
            <w:r>
              <w:t xml:space="preserve">100.00%</w:t>
            </w:r>
          </w:p>
        </w:tc>
      </w:tr>
    </w:tbl>
    <w:bookmarkEnd w:id="42"/>
    <w:bookmarkStart w:id="43" w:name="X57a60650c9cadba5cd3260c53013099fda08865"/>
    <w:p>
      <w:pPr>
        <w:pStyle w:val="Heading3"/>
      </w:pPr>
      <w:r>
        <w:t xml:space="preserve">4.4 Emissions Summary by GHG Scope (Illustrative)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Illustrative Emissions (kg CO₂e/unit)</w:t>
            </w:r>
          </w:p>
        </w:tc>
        <w:tc>
          <w:tcPr/>
          <w:p>
            <w:pPr>
              <w:pStyle w:val="Compact"/>
              <w:jc w:val="left"/>
            </w:pPr>
            <w:r>
              <w:t xml:space="preserve">Percentage of Total (%)</w:t>
            </w:r>
          </w:p>
        </w:tc>
        <w:tc>
          <w:tcPr/>
          <w:p>
            <w:pPr>
              <w:pStyle w:val="Compact"/>
            </w:pPr>
          </w:p>
        </w:tc>
      </w:tr>
      <w:tr>
        <w:tc>
          <w:tcPr/>
          <w:p>
            <w:pPr>
              <w:pStyle w:val="Compact"/>
              <w:jc w:val="left"/>
            </w:pPr>
            <w:r>
              <w:t xml:space="preserve">Scope 1</w:t>
            </w:r>
          </w:p>
        </w:tc>
        <w:tc>
          <w:tcPr/>
          <w:p>
            <w:pPr>
              <w:pStyle w:val="Compact"/>
              <w:jc w:val="left"/>
            </w:pPr>
            <w:r>
              <w:t xml:space="preserve">0.000 (Assumed negligible for this report)</w:t>
            </w:r>
          </w:p>
        </w:tc>
        <w:tc>
          <w:tcPr/>
          <w:p>
            <w:pPr>
              <w:pStyle w:val="Compact"/>
              <w:jc w:val="left"/>
            </w:pPr>
            <w:r>
              <w:t xml:space="preserve">0.00%</w:t>
            </w:r>
          </w:p>
        </w:tc>
        <w:tc>
          <w:tcPr/>
          <w:p>
            <w:pPr>
              <w:pStyle w:val="Compact"/>
            </w:pPr>
          </w:p>
        </w:tc>
      </w:tr>
      <w:tr>
        <w:tc>
          <w:tcPr/>
          <w:p>
            <w:pPr>
              <w:pStyle w:val="Compact"/>
              <w:jc w:val="left"/>
            </w:pPr>
            <w:r>
              <w:t xml:space="preserve">Scope 2</w:t>
            </w:r>
          </w:p>
        </w:tc>
        <w:tc>
          <w:tcPr/>
          <w:p>
            <w:pPr>
              <w:pStyle w:val="Compact"/>
              <w:jc w:val="left"/>
            </w:pPr>
            <w:r>
              <w:t xml:space="preserve">4.069</w:t>
            </w:r>
          </w:p>
        </w:tc>
        <w:tc>
          <w:tcPr/>
          <w:p>
            <w:pPr>
              <w:pStyle w:val="Compact"/>
              <w:jc w:val="left"/>
            </w:pPr>
            <w:r>
              <w:t xml:space="preserve">17.39%</w:t>
            </w:r>
          </w:p>
        </w:tc>
        <w:tc>
          <w:tcPr/>
          <w:p>
            <w:pPr>
              <w:pStyle w:val="Compact"/>
            </w:pPr>
          </w:p>
        </w:tc>
      </w:tr>
      <w:tr>
        <w:tc>
          <w:tcPr/>
          <w:p>
            <w:pPr>
              <w:pStyle w:val="Compact"/>
              <w:jc w:val="left"/>
            </w:pPr>
            <w:r>
              <w:t xml:space="preserve">Scope 3</w:t>
            </w:r>
          </w:p>
        </w:tc>
        <w:tc>
          <w:tcPr/>
          <w:p>
            <w:pPr>
              <w:pStyle w:val="Compact"/>
              <w:jc w:val="left"/>
            </w:pPr>
            <w:r>
              <w:t xml:space="preserve">19.335 (6.06 + 0.185 + 14.425 - 1.235)</w:t>
            </w:r>
          </w:p>
        </w:tc>
        <w:tc>
          <w:tcPr/>
          <w:p>
            <w:pPr>
              <w:pStyle w:val="Compact"/>
              <w:jc w:val="left"/>
            </w:pPr>
            <w:r>
              <w:t xml:space="preserve">82.61%</w:t>
            </w:r>
          </w:p>
        </w:tc>
        <w:tc>
          <w:tcPr/>
          <w:p>
            <w:pPr>
              <w:pStyle w:val="Compact"/>
            </w:pPr>
          </w:p>
        </w:tc>
      </w:tr>
      <w:tr>
        <w:tc>
          <w:tcPr/>
          <w:p>
            <w:pPr>
              <w:pStyle w:val="Compact"/>
              <w:jc w:val="left"/>
            </w:pPr>
            <w:r>
              <w:t xml:space="preserve">Total Product Carbon Footprint</w:t>
            </w:r>
          </w:p>
        </w:tc>
        <w:tc>
          <w:tcPr/>
          <w:p>
            <w:pPr>
              <w:pStyle w:val="Compact"/>
            </w:pPr>
          </w:p>
        </w:tc>
        <w:tc>
          <w:tcPr/>
          <w:p>
            <w:pPr>
              <w:pStyle w:val="Compact"/>
              <w:jc w:val="left"/>
            </w:pPr>
            <w:r>
              <w:t xml:space="preserve">23.404</w:t>
            </w:r>
          </w:p>
        </w:tc>
        <w:tc>
          <w:tcPr/>
          <w:p>
            <w:pPr>
              <w:pStyle w:val="Compact"/>
              <w:jc w:val="left"/>
            </w:pPr>
            <w:r>
              <w:t xml:space="preserve">100.00%</w:t>
            </w:r>
          </w:p>
        </w:tc>
      </w:tr>
    </w:tbl>
    <w:bookmarkEnd w:id="43"/>
    <w:bookmarkStart w:id="44" w:name="X504f4a86e01fdcfa46a4589bb1b5e0cfaad8629"/>
    <w:p>
      <w:pPr>
        <w:pStyle w:val="Heading3"/>
      </w:pPr>
      <w:r>
        <w:t xml:space="preserve">4.5 2026 Land Sector and Removals (LSR) Standard Update</w:t>
      </w:r>
    </w:p>
    <w:p>
      <w:pPr>
        <w:pStyle w:val="FirstParagraph"/>
      </w:pPr>
      <w:r>
        <w:t xml:space="preserve">The GHG Protocol\'s 2026 Land Sector and Removals (LSR) Standard aims to provide comprehensive guidance for accounting for emissions and removals from land use, land-use change, biogenic products, and technological CO₂ removals. While a product like mmlvhfljpe might not have direct significant land-use impacts in its own manufacturing, the LSR Standard is highly relevant for upstream Scope 3 emissions, particularly for raw materials derived from agriculture or forestry (e.g., certain plastics from bio-based feedstocks, or paper/cardboard packaging).</w:t>
      </w:r>
    </w:p>
    <w:p>
      <w:pPr>
        <w:pStyle w:val="BodyText"/>
      </w:pPr>
      <w:r>
        <w:t xml:space="preserve">For mmlvhfljpe, the LSR Standard\'s principles would apply to assessing the upstream impacts of its plastic packaging film (if bio-based), and corrugated cardboard box. ysolpsiwnn would need to ensure that suppliers of these materials provide data aligned with the LSR Standard for any land-related emissions or removals, demonstrating physical traceability via chain of custody models. The current analysis incorporates the \'Total Carbon\' for these materials as provided in the BOM, which is assumed to reflect such upstream impacts.</w:t>
      </w:r>
    </w:p>
    <w:bookmarkEnd w:id="44"/>
    <w:bookmarkStart w:id="45" w:name="scope-3-compliance-95-coverage"/>
    <w:p>
      <w:pPr>
        <w:pStyle w:val="Heading3"/>
      </w:pPr>
      <w:r>
        <w:t xml:space="preserve">4.6 Scope 3 Compliance (95% Coverage)</w:t>
      </w:r>
    </w:p>
    <w:p>
      <w:pPr>
        <w:pStyle w:val="FirstParagraph"/>
      </w:pPr>
      <w:r>
        <w:t xml:space="preserve">In line with the 2026 GHG Protocol requirements, this analysis aims for at least 95% coverage of all relevant Scope 3 emissions. The detailed breakdown across material acquisition, transportation, use phase, and end-of-life treatment ensures that major categories of value chain emissions are quantified. The mandatory disaggregation by data type (primary vs. secondary) will be crucial for future audits and data quality improvement. Any minor exclusions would be quantified, disclosed, and justified to maintain conformance.</w:t>
      </w:r>
    </w:p>
    <w:p>
      <w:r>
        <w:pict>
          <v:rect style="width:0;height:1.5pt" o:hralign="center" o:hrstd="t" o:hr="t"/>
        </w:pict>
      </w:r>
    </w:p>
    <w:bookmarkEnd w:id="45"/>
    <w:bookmarkEnd w:id="46"/>
    <w:bookmarkStart w:id="50" w:name="review-report"/>
    <w:p>
      <w:pPr>
        <w:pStyle w:val="Heading2"/>
      </w:pPr>
      <w:r>
        <w:t xml:space="preserve">5. Review &amp; Report</w:t>
      </w:r>
    </w:p>
    <w:bookmarkStart w:id="47" w:name="emission-hotspots-illustrative"/>
    <w:p>
      <w:pPr>
        <w:pStyle w:val="Heading3"/>
      </w:pPr>
      <w:r>
        <w:t xml:space="preserve">5.1 Emission Hotspots (Illustrative)</w:t>
      </w:r>
    </w:p>
    <w:p>
      <w:pPr>
        <w:pStyle w:val="FirstParagraph"/>
      </w:pPr>
      <w:r>
        <w:t xml:space="preserve">Based on the illustrative calculations, the primary emission hotspots for mmlvhfljpe are:</w:t>
      </w:r>
    </w:p>
    <w:p>
      <w:pPr>
        <w:numPr>
          <w:ilvl w:val="0"/>
          <w:numId w:val="1007"/>
        </w:numPr>
        <w:pStyle w:val="Compact"/>
      </w:pPr>
      <w:r>
        <w:rPr>
          <w:bCs/>
          <w:b/>
        </w:rPr>
        <w:t xml:space="preserve">Use Phase (61.64%):</w:t>
      </w:r>
      <w:r>
        <w:t xml:space="preserve"> </w:t>
      </w:r>
      <w:r>
        <w:t xml:space="preserve">The energy consumption during the product\'s lifespan is the most significant contributor to its carbon footprint. This highlights the importance of energy efficiency in product design and the role of renewable energy sources for end-users.</w:t>
      </w:r>
    </w:p>
    <w:p>
      <w:pPr>
        <w:numPr>
          <w:ilvl w:val="0"/>
          <w:numId w:val="1007"/>
        </w:numPr>
        <w:pStyle w:val="Compact"/>
      </w:pPr>
      <w:r>
        <w:rPr>
          <w:bCs/>
          <w:b/>
        </w:rPr>
        <w:t xml:space="preserve">Material Acquisition &amp; Pre-processing (25.89%):</w:t>
      </w:r>
      <w:r>
        <w:t xml:space="preserve"> </w:t>
      </w:r>
      <w:r>
        <w:t xml:space="preserve">The embodied emissions in raw materials, particularly aluminum alloy and the printed circuit board, represent a substantial portion of the footprint.</w:t>
      </w:r>
    </w:p>
    <w:p>
      <w:pPr>
        <w:numPr>
          <w:ilvl w:val="0"/>
          <w:numId w:val="1007"/>
        </w:numPr>
        <w:pStyle w:val="Compact"/>
      </w:pPr>
      <w:r>
        <w:rPr>
          <w:bCs/>
          <w:b/>
        </w:rPr>
        <w:t xml:space="preserve">Manufacturing &amp; Assembly (Energy) (17.39%):</w:t>
      </w:r>
      <w:r>
        <w:t xml:space="preserve"> </w:t>
      </w:r>
      <w:r>
        <w:t xml:space="preserve">Electricity consumption during production contributes notably, underscoring the value of renewable energy adoption at manufacturing facilities.</w:t>
      </w:r>
    </w:p>
    <w:bookmarkEnd w:id="47"/>
    <w:bookmarkStart w:id="48" w:name="reliability-and-data-quality"/>
    <w:p>
      <w:pPr>
        <w:pStyle w:val="Heading3"/>
      </w:pPr>
      <w:r>
        <w:t xml:space="preserve">5.2 Reliability and Data Quality</w:t>
      </w:r>
    </w:p>
    <w:p>
      <w:pPr>
        <w:pStyle w:val="FirstParagraph"/>
      </w:pPr>
      <w:r>
        <w:t xml:space="preserve">The reliability of this PCF is directly dependent on the quality and specificity of the input data.</w:t>
      </w:r>
    </w:p>
    <w:p>
      <w:pPr>
        <w:numPr>
          <w:ilvl w:val="0"/>
          <w:numId w:val="1008"/>
        </w:numPr>
        <w:pStyle w:val="Compact"/>
      </w:pPr>
      <w:r>
        <w:rPr>
          <w:bCs/>
          <w:b/>
        </w:rPr>
        <w:t xml:space="preserve">BOM Data:</w:t>
      </w:r>
      <w:r>
        <w:t xml:space="preserve"> </w:t>
      </w:r>
      <w:r>
        <w:t xml:space="preserve">The provided \'Total Carbon\' values for each BOM item represent high-accuracy, specific material impact calculations, which significantly enhance the reliability of the material emissions.</w:t>
      </w:r>
    </w:p>
    <w:p>
      <w:pPr>
        <w:numPr>
          <w:ilvl w:val="0"/>
          <w:numId w:val="1008"/>
        </w:numPr>
        <w:pStyle w:val="Compact"/>
      </w:pPr>
      <w:r>
        <w:rPr>
          <w:bCs/>
          <w:b/>
        </w:rPr>
        <w:t xml:space="preserve">Parameter Data:</w:t>
      </w:r>
      <w:r>
        <w:t xml:space="preserve"> </w:t>
      </w:r>
      <w:r>
        <w:t xml:space="preserve">The explicit inclusion of specific parameters (`shkwfpdeqz`, `qtpdfqymry`, `svirgjyyhi`, `ozofgzdeps`, `ouxdjvftnt`, `iisiipdjqe`, `egutfwzmyx`) ensures that the calculations reflect company-specific operational characteristics.</w:t>
      </w:r>
    </w:p>
    <w:p>
      <w:pPr>
        <w:numPr>
          <w:ilvl w:val="0"/>
          <w:numId w:val="1008"/>
        </w:numPr>
        <w:pStyle w:val="Compact"/>
      </w:pPr>
      <w:r>
        <w:rPr>
          <w:bCs/>
          <w:b/>
        </w:rPr>
        <w:t xml:space="preserve">Emission Factors:</w:t>
      </w:r>
      <w:r>
        <w:t xml:space="preserve"> </w:t>
      </w:r>
      <w:r>
        <w:t xml:space="preserve">Where primary data was unavailable, industry-standard emission factors from reputable databases like Ecoinvent and regional grid mixes (e.g., China grid mix) were used. Future iterations should aim to replace secondary data with primary supplier-specific data to further improve accuracy and meet evolving Scope 3 data disaggregation requirements.</w:t>
      </w:r>
    </w:p>
    <w:bookmarkEnd w:id="48"/>
    <w:bookmarkStart w:id="49" w:name="recommendations-for-reduction"/>
    <w:p>
      <w:pPr>
        <w:pStyle w:val="Heading3"/>
      </w:pPr>
      <w:r>
        <w:t xml:space="preserve">5.3 Recommendations for Reduction</w:t>
      </w:r>
    </w:p>
    <w:p>
      <w:pPr>
        <w:pStyle w:val="FirstParagraph"/>
      </w:pPr>
      <w:r>
        <w:t xml:space="preserve">To reduce the Product Carbon Footprint of mmlvhfljpe, ysolpsiwnn should focus on the following key areas:</w:t>
      </w:r>
    </w:p>
    <w:p>
      <w:pPr>
        <w:numPr>
          <w:ilvl w:val="0"/>
          <w:numId w:val="1009"/>
        </w:numPr>
        <w:pStyle w:val="Compact"/>
      </w:pPr>
      <w:r>
        <w:rPr>
          <w:bCs/>
          <w:b/>
        </w:rPr>
        <w:t xml:space="preserve">Optimize Use Phase Efficiency:</w:t>
      </w:r>
      <w:r>
        <w:t xml:space="preserve"> </w:t>
      </w:r>
      <w:r>
        <w:t xml:space="preserve">Invest in R&amp;D to significantly reduce energy consumption during the product\'s use phase. Explore low-power modes, extend product lifespan through modular design for repairability, and encourage customers to use renewable energy sources.</w:t>
      </w:r>
    </w:p>
    <w:p>
      <w:pPr>
        <w:numPr>
          <w:ilvl w:val="0"/>
          <w:numId w:val="1009"/>
        </w:numPr>
        <w:pStyle w:val="Compact"/>
      </w:pPr>
      <w:r>
        <w:rPr>
          <w:bCs/>
          <w:b/>
        </w:rPr>
        <w:t xml:space="preserve">Sustainable Material Sourcing:</w:t>
      </w:r>
      <w:r>
        <w:t xml:space="preserve"> </w:t>
      </w:r>
      <w:r>
        <w:t xml:space="preserve">Prioritize sourcing lower-carbon alternative materials, materials with higher recycled content, or materials from suppliers with certified low-carbon production processes. Engage with upstream suppliers (e.g., for aluminum, PCBs) to reduce their emissions.</w:t>
      </w:r>
    </w:p>
    <w:p>
      <w:pPr>
        <w:numPr>
          <w:ilvl w:val="0"/>
          <w:numId w:val="1009"/>
        </w:numPr>
        <w:pStyle w:val="Compact"/>
      </w:pPr>
      <w:r>
        <w:rPr>
          <w:bCs/>
          <w:b/>
        </w:rPr>
        <w:t xml:space="preserve">Renewable Energy in Manufacturing:</w:t>
      </w:r>
      <w:r>
        <w:t xml:space="preserve"> </w:t>
      </w:r>
      <w:r>
        <w:t xml:space="preserve">Further increase the percentage of renewable energy usage beyond `qtpdfqymry` at manufacturing facilities. Invest in on-site renewables or procure high-quality renewable energy certificates (RECs) or power purchase agreements (PPAs).</w:t>
      </w:r>
    </w:p>
    <w:p>
      <w:pPr>
        <w:numPr>
          <w:ilvl w:val="0"/>
          <w:numId w:val="1009"/>
        </w:numPr>
        <w:pStyle w:val="Compact"/>
      </w:pPr>
      <w:r>
        <w:rPr>
          <w:bCs/>
          <w:b/>
        </w:rPr>
        <w:t xml:space="preserve">Circular Economy Initiatives:</w:t>
      </w:r>
      <w:r>
        <w:t xml:space="preserve"> </w:t>
      </w:r>
      <w:r>
        <w:t xml:space="preserve">Enhance existing circular programs (`egutfwzmyx`) and expand recyclability beyond `iisiipdjqe`. Design for disassembly, material recovery, and consider product-as-a-service models to retain product ownership and manage end-of-life responsibly.</w:t>
      </w:r>
    </w:p>
    <w:p>
      <w:pPr>
        <w:numPr>
          <w:ilvl w:val="0"/>
          <w:numId w:val="1009"/>
        </w:numPr>
        <w:pStyle w:val="Compact"/>
      </w:pPr>
      <w:r>
        <w:rPr>
          <w:bCs/>
          <w:b/>
        </w:rPr>
        <w:t xml:space="preserve">Logistics Optimization:</w:t>
      </w:r>
      <w:r>
        <w:t xml:space="preserve"> </w:t>
      </w:r>
      <w:r>
        <w:t xml:space="preserve">Continuously optimize transportation routes, modes (e.g., shift from air/road to rail/sea where feasible), and load factors to reduce emissions from distribution.</w:t>
      </w:r>
    </w:p>
    <w:p>
      <w:r>
        <w:pict>
          <v:rect style="width:0;height:1.5pt" o:hralign="center" o:hrstd="t" o:hr="t"/>
        </w:pict>
      </w:r>
    </w:p>
    <w:p>
      <w:pPr>
        <w:pStyle w:val="FirstParagraph"/>
      </w:pPr>
      <w:r>
        <w:t xml:space="preserve">Confidential - Internal Use Only</w:t>
      </w:r>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mmlvhfljpe</dc:title>
  <dc:creator/>
  <dc:description>High-detail Product Carbon Footprint (PCF) analysis report for product mmlvhfljpe by ysolpsiwnn, adhering to GHG Protocol and 2026 LSR updates.</dc:description>
  <dc:language>en</dc:language>
  <cp:keywords/>
  <dcterms:created xsi:type="dcterms:W3CDTF">2026-05-30T14:51:16Z</dcterms:created>
  <dcterms:modified xsi:type="dcterms:W3CDTF">2026-05-30T14:51:16Z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