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mmlifkdotu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mmlifkdotu</w:t>
      </w:r>
    </w:p>
    <w:p>
      <w:pPr>
        <w:pStyle w:val="BodyText"/>
      </w:pPr>
      <w:r>
        <w:rPr>
          <w:bCs/>
          <w:b/>
        </w:rPr>
        <w:t xml:space="preserve">Company:</w:t>
      </w:r>
      <w:r>
        <w:t xml:space="preserve"> </w:t>
      </w:r>
      <w:r>
        <w:t xml:space="preserve">tpikwsnxtu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xhvyhpuytm</w:t>
      </w:r>
    </w:p>
    <w:p>
      <w:pPr>
        <w:pStyle w:val="BodyText"/>
      </w:pPr>
      <w:r>
        <w:t xml:space="preserve">This report is generated based on available data and industry standards. While efforts have been made to ensure accuracy, the calculations presented are illustrative, relying on assumed emission factors and parameter values where specific primary data was not provided. The results serve as an estimate of the product\'s carbon footprint.</w:t>
      </w:r>
    </w:p>
    <w:bookmarkEnd w:id="20"/>
    <w:bookmarkStart w:id="46" w:name="X4c709140d8c49ff93be5374eb6193cd66e636ff"/>
    <w:p>
      <w:pPr>
        <w:pStyle w:val="Heading1"/>
      </w:pPr>
      <w:r>
        <w:t xml:space="preserve">Product Carbon Footprint (PCF) Analysis Report for mmlifkdotu</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xhvyhpuytm</w:t>
      </w:r>
    </w:p>
    <w:p>
      <w:pPr>
        <w:pStyle w:val="BodyText"/>
      </w:pPr>
      <w:r>
        <w:t xml:space="preserve">This high-detail Product Carbon Footprint (PCF) analysis has been prepared for tpikwsnxtu, focusing on their product mmlifkdotu. The assessment strictly adheres to the Greenhouse Gas (GHG) Protocol standards, providing a comprehensive evaluation of emissions across the product\'s lifecycle.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Product Carbon Footprint (PCF) analysis for mmlifkdotu, a product manufactured by tpikwsnxtu. The analysis, conducted by xhvyhpuytm, Senior Sustainability Consultant, follows the five-step methodology prescribed by the GHG Protocol. It covers emissions from raw material acquisition, production, transportation, use, and end-of-life phases, categorized into Scope 1, Scope 2, and Scope 3 emissions. Key findings highlight emission hotspots across the value chain, offering actionable insights for reduction strategies. The report also incorporates the 2026 Land Sector and Removals (LSR) Standard update and ensures at least 95% coverage for Scope 3 reporting.</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boundaries and parameters for the assessment.</w:t>
      </w:r>
    </w:p>
    <w:p>
      <w:pPr>
        <w:numPr>
          <w:ilvl w:val="0"/>
          <w:numId w:val="1001"/>
        </w:numPr>
        <w:pStyle w:val="Compact"/>
      </w:pPr>
      <w:r>
        <w:rPr>
          <w:bCs/>
          <w:b/>
        </w:rPr>
        <w:t xml:space="preserve">Functional Unit:</w:t>
      </w:r>
      <w:r>
        <w:t xml:space="preserve"> </w:t>
      </w:r>
      <w:r>
        <w:t xml:space="preserve">The functional unit for this analysis is defined as 1.0 unit of mmlifkdotu. All emissions are calculated per this unit.</w:t>
      </w:r>
    </w:p>
    <w:p>
      <w:pPr>
        <w:numPr>
          <w:ilvl w:val="0"/>
          <w:numId w:val="1001"/>
        </w:numPr>
        <w:pStyle w:val="Compact"/>
      </w:pPr>
      <w:r>
        <w:rPr>
          <w:bCs/>
          <w:b/>
        </w:rPr>
        <w:t xml:space="preserve">System Boundary:</w:t>
      </w:r>
      <w:r>
        <w:t xml:space="preserve"> </w:t>
      </w:r>
      <w:r>
        <w:t xml:space="preserve">The system boundary for this PCF analysis is \'Cradle-to-Grave\'. While the manufacturing phase considers a \'factory_gate\' boundary for direct production emissions, the overall assessment extends from raw material extraction (cradle) through manufacturing, transportation, the product\'s use phase, and its end-of-life treatment (grave) to provide a holistic view of its environmental impact.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downstream logistics and use phase)</w:t>
      </w:r>
    </w:p>
    <w:p>
      <w:pPr>
        <w:numPr>
          <w:ilvl w:val="0"/>
          <w:numId w:val="1001"/>
        </w:numPr>
        <w:pStyle w:val="Compact"/>
      </w:pPr>
      <w:r>
        <w:rPr>
          <w:bCs/>
          <w:b/>
        </w:rPr>
        <w:t xml:space="preserve">Accounting Standard:</w:t>
      </w:r>
      <w:r>
        <w:t xml:space="preserve"> </w:t>
      </w:r>
      <w:r>
        <w:t xml:space="preserve">The analysis strictly follows the GHG Protocol\'s Product Life Cycle Accounting and Reporting Standard. This framework ensures consistent and credible measurement and reporting of greenhouse gas emissions.</w:t>
      </w:r>
    </w:p>
    <w:p>
      <w:pPr>
        <w:numPr>
          <w:ilvl w:val="0"/>
          <w:numId w:val="1001"/>
        </w:numPr>
        <w:pStyle w:val="Compact"/>
      </w:pPr>
      <w:r>
        <w:rPr>
          <w:bCs/>
          <w:b/>
        </w:rPr>
        <w:t xml:space="preserve">Allocation:</w:t>
      </w:r>
      <w:r>
        <w:t xml:space="preserve"> </w:t>
      </w:r>
      <w:r>
        <w:t xml:space="preserve">Emissions are allocated based on mass for material inputs and direct attribution for energy consumption, transportation, and waste treatment processes associated with the functional unit.</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of mmlifkdotu and the data collected for each stage. Illustrative data points are used for calculation where specific values for parameters were provided as placeholders.</w:t>
      </w:r>
    </w:p>
    <w:bookmarkStart w:id="23" w:name="X71df8aa2893c51fa35decb2fad6d637cfe5e697"/>
    <w:p>
      <w:pPr>
        <w:pStyle w:val="Heading3"/>
      </w:pPr>
      <w:r>
        <w:t xml:space="preserve">Material Acquisition and Production (Upstream - Scope 3, Category 1: Purchased Goods and Services)</w:t>
      </w:r>
    </w:p>
    <w:p>
      <w:pPr>
        <w:pStyle w:val="FirstParagraph"/>
      </w:pPr>
      <w:r>
        <w:t xml:space="preserve">The Detailed Bill of Materials (BOM) for mmlifkdotu, provided as qmsmjrnu, forms the basis for calculating emissions from material extraction and processing. These values represent the \'cradle-to-gate\' emissions associated with each component before it reaches the tpikwsnxtu factory.</w:t>
      </w:r>
    </w:p>
    <w:p>
      <w:pPr>
        <w:pStyle w:val="BodyText"/>
      </w:pPr>
      <w:r>
        <w:rPr>
          <w:iCs/>
          <w:i/>
        </w:rPr>
        <w:t xml:space="preserve">(Note: The BOM data below is illustrative, based on the provided placeholder \'qmsmjrnu\',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gridSpan w:val="7"/>
          </w:tcPr>
          <w:p>
            <w:pPr>
              <w:pStyle w:val="Compact"/>
              <w:jc w:val="right"/>
            </w:pPr>
            <w:r>
              <w:t xml:space="preserve">Total Material Emissions (kgCO2e):</w:t>
            </w:r>
          </w:p>
        </w:tc>
        <w:tc>
          <w:tcPr/>
          <w:p>
            <w:pPr>
              <w:pStyle w:val="Compact"/>
              <w:jc w:val="left"/>
            </w:pPr>
            <w:r>
              <w:t xml:space="preserve">9.04</w:t>
            </w:r>
          </w:p>
        </w:tc>
      </w:tr>
    </w:tbl>
    <w:bookmarkEnd w:id="23"/>
    <w:bookmarkStart w:id="24" w:name="X7c00a787e8cb52058e7c7cb7bf5ddf6258c8434"/>
    <w:p>
      <w:pPr>
        <w:pStyle w:val="Heading3"/>
      </w:pPr>
      <w:r>
        <w:t xml:space="preserve">Production Phase (Scope 1 &amp; 2, and Scope 3, Category 3: Fuel- and energy-related activities)</w:t>
      </w:r>
    </w:p>
    <w:p>
      <w:pPr>
        <w:pStyle w:val="FirstParagraph"/>
      </w:pPr>
      <w:r>
        <w:t xml:space="preserve">Emissions from the manufacturing process in China are primarily driven by energy consumption.</w:t>
      </w:r>
    </w:p>
    <w:p>
      <w:pPr>
        <w:numPr>
          <w:ilvl w:val="0"/>
          <w:numId w:val="1003"/>
        </w:numPr>
        <w:pStyle w:val="Compact"/>
      </w:pPr>
      <w:r>
        <w:rPr>
          <w:bCs/>
          <w:b/>
        </w:rPr>
        <w:t xml:space="preserve">Energy Intensity (kWh/unit):</w:t>
      </w:r>
      <w:r>
        <w:t xml:space="preserve"> </w:t>
      </w:r>
      <w:r>
        <w:t xml:space="preserve">xqtwqyltiz = 5 kWh/unit</w:t>
      </w:r>
      <w:r>
        <w:t xml:space="preserve"> </w:t>
      </w:r>
      <w:r>
        <w:rPr>
          <w:iCs/>
          <w:i/>
        </w:rPr>
        <w:t xml:space="preserve">(Illustrative value)</w:t>
      </w:r>
    </w:p>
    <w:p>
      <w:pPr>
        <w:numPr>
          <w:ilvl w:val="0"/>
          <w:numId w:val="1003"/>
        </w:numPr>
        <w:pStyle w:val="Compact"/>
      </w:pPr>
      <w:r>
        <w:rPr>
          <w:bCs/>
          <w:b/>
        </w:rPr>
        <w:t xml:space="preserve">Renewable Energy Usage:</w:t>
      </w:r>
      <w:r>
        <w:t xml:space="preserve"> </w:t>
      </w:r>
      <w:r>
        <w:t xml:space="preserve">wrigyjysrm = 30%</w:t>
      </w:r>
      <w:r>
        <w:t xml:space="preserve"> </w:t>
      </w:r>
      <w:r>
        <w:rPr>
          <w:iCs/>
          <w:i/>
        </w:rPr>
        <w:t xml:space="preserve">(Illustrative value)</w:t>
      </w:r>
    </w:p>
    <w:p>
      <w:pPr>
        <w:numPr>
          <w:ilvl w:val="0"/>
          <w:numId w:val="1003"/>
        </w:numPr>
        <w:pStyle w:val="Compact"/>
      </w:pPr>
      <w:r>
        <w:rPr>
          <w:bCs/>
          <w:b/>
        </w:rPr>
        <w:t xml:space="preserve">Non-Renewable Energy Consumption:</w:t>
      </w:r>
      <w:r>
        <w:t xml:space="preserve"> </w:t>
      </w:r>
      <w:r>
        <w:t xml:space="preserve">5 kWh/unit * (1 - 30%) = 3.5 kWh/unit</w:t>
      </w:r>
    </w:p>
    <w:p>
      <w:pPr>
        <w:numPr>
          <w:ilvl w:val="0"/>
          <w:numId w:val="1003"/>
        </w:numPr>
        <w:pStyle w:val="Compact"/>
      </w:pPr>
      <w:r>
        <w:rPr>
          <w:bCs/>
          <w:b/>
        </w:rPr>
        <w:t xml:space="preserve">China Grid Electricity Emission Factor:</w:t>
      </w:r>
      <w:r>
        <w:t xml:space="preserve"> </w:t>
      </w:r>
      <w:r>
        <w:t xml:space="preserve">0.577 kgCO2e/kWh.</w:t>
      </w:r>
    </w:p>
    <w:bookmarkEnd w:id="24"/>
    <w:bookmarkStart w:id="25" w:name="X26cfed74685a50b08613a7e1677aa0d0f4c56a7"/>
    <w:p>
      <w:pPr>
        <w:pStyle w:val="Heading3"/>
      </w:pPr>
      <w:r>
        <w:t xml:space="preserve">Transportation and Distribution (Upstream &amp; Downstream - Scope 3, Categories 4 &amp; 9)</w:t>
      </w:r>
    </w:p>
    <w:p>
      <w:pPr>
        <w:pStyle w:val="FirstParagraph"/>
      </w:pPr>
      <w:r>
        <w:t xml:space="preserve">Logistics data for both inbound and outbound movements are crucial. A product weight of 1 kg is assumed for transport calculations as it was not provided.</w:t>
      </w:r>
    </w:p>
    <w:p>
      <w:pPr>
        <w:numPr>
          <w:ilvl w:val="0"/>
          <w:numId w:val="1004"/>
        </w:numPr>
        <w:pStyle w:val="Compact"/>
      </w:pPr>
      <w:r>
        <w:rPr>
          <w:bCs/>
          <w:b/>
        </w:rPr>
        <w:t xml:space="preserve">Assumed Product Weight:</w:t>
      </w:r>
      <w:r>
        <w:t xml:space="preserve"> </w:t>
      </w:r>
      <w:r>
        <w:t xml:space="preserve">1 kg/unit</w:t>
      </w:r>
      <w:r>
        <w:t xml:space="preserve"> </w:t>
      </w:r>
      <w:r>
        <w:rPr>
          <w:iCs/>
          <w:i/>
        </w:rPr>
        <w:t xml:space="preserve">(Illustrative value)</w:t>
      </w:r>
    </w:p>
    <w:p>
      <w:pPr>
        <w:numPr>
          <w:ilvl w:val="0"/>
          <w:numId w:val="1004"/>
        </w:numPr>
        <w:pStyle w:val="Compact"/>
      </w:pPr>
      <w:r>
        <w:rPr>
          <w:bCs/>
          <w:b/>
        </w:rPr>
        <w:t xml:space="preserve">Transport Mode (Select Mode):</w:t>
      </w:r>
    </w:p>
    <w:p>
      <w:pPr>
        <w:numPr>
          <w:ilvl w:val="1"/>
          <w:numId w:val="1005"/>
        </w:numPr>
        <w:pStyle w:val="Compact"/>
      </w:pPr>
      <w:r>
        <w:rPr>
          <w:bCs/>
          <w:b/>
        </w:rPr>
        <w:t xml:space="preserve">International (China to Europe):</w:t>
      </w:r>
      <w:r>
        <w:t xml:space="preserve"> </w:t>
      </w:r>
      <w:r>
        <w:t xml:space="preserve">Ocean Freight (Assumed distance: 9000 km)</w:t>
      </w:r>
    </w:p>
    <w:p>
      <w:pPr>
        <w:numPr>
          <w:ilvl w:val="1"/>
          <w:numId w:val="1005"/>
        </w:numPr>
        <w:pStyle w:val="Compact"/>
      </w:pPr>
      <w:r>
        <w:rPr>
          <w:bCs/>
          <w:b/>
        </w:rPr>
        <w:t xml:space="preserve">Intra-Europe (Factory to Distribution Center):</w:t>
      </w:r>
      <w:r>
        <w:t xml:space="preserve"> </w:t>
      </w:r>
      <w:r>
        <w:t xml:space="preserve">Truck (Assumed distance: 400 km)</w:t>
      </w:r>
    </w:p>
    <w:p>
      <w:pPr>
        <w:numPr>
          <w:ilvl w:val="1"/>
          <w:numId w:val="1005"/>
        </w:numPr>
        <w:pStyle w:val="Compact"/>
      </w:pPr>
      <w:r>
        <w:rPr>
          <w:bCs/>
          <w:b/>
        </w:rPr>
        <w:t xml:space="preserve">Last-Mile Delivery (Delivery Type):</w:t>
      </w:r>
      <w:r>
        <w:t xml:space="preserve"> </w:t>
      </w:r>
      <w:r>
        <w:t xml:space="preserve">Truck/Van (Assumed distance: 100 km)</w:t>
      </w:r>
    </w:p>
    <w:p>
      <w:pPr>
        <w:numPr>
          <w:ilvl w:val="0"/>
          <w:numId w:val="1004"/>
        </w:numPr>
        <w:pStyle w:val="Compact"/>
      </w:pPr>
      <w:r>
        <w:rPr>
          <w:bCs/>
          <w:b/>
        </w:rPr>
        <w:t xml:space="preserve">Transport Distance (ffemlpjquv):</w:t>
      </w:r>
    </w:p>
    <w:p>
      <w:pPr>
        <w:numPr>
          <w:ilvl w:val="1"/>
          <w:numId w:val="1006"/>
        </w:numPr>
        <w:pStyle w:val="Compact"/>
      </w:pPr>
      <w:r>
        <w:t xml:space="preserve">Ocean Freight: 9000 km</w:t>
      </w:r>
      <w:r>
        <w:t xml:space="preserve"> </w:t>
      </w:r>
      <w:r>
        <w:rPr>
          <w:iCs/>
          <w:i/>
        </w:rPr>
        <w:t xml:space="preserve">(Illustrative value)</w:t>
      </w:r>
    </w:p>
    <w:p>
      <w:pPr>
        <w:numPr>
          <w:ilvl w:val="1"/>
          <w:numId w:val="1006"/>
        </w:numPr>
        <w:pStyle w:val="Compact"/>
      </w:pPr>
      <w:r>
        <w:t xml:space="preserve">Truck (Factory to Distribution): 400 km</w:t>
      </w:r>
      <w:r>
        <w:t xml:space="preserve"> </w:t>
      </w:r>
      <w:r>
        <w:rPr>
          <w:iCs/>
          <w:i/>
        </w:rPr>
        <w:t xml:space="preserve">(Illustrative value)</w:t>
      </w:r>
    </w:p>
    <w:p>
      <w:pPr>
        <w:numPr>
          <w:ilvl w:val="1"/>
          <w:numId w:val="1006"/>
        </w:numPr>
        <w:pStyle w:val="Compact"/>
      </w:pPr>
      <w:r>
        <w:t xml:space="preserve">Truck (Last Mile): 100 km</w:t>
      </w:r>
      <w:r>
        <w:t xml:space="preserve"> </w:t>
      </w:r>
      <w:r>
        <w:rPr>
          <w:iCs/>
          <w:i/>
        </w:rPr>
        <w:t xml:space="preserve">(Illustrative value)</w:t>
      </w:r>
    </w:p>
    <w:p>
      <w:pPr>
        <w:numPr>
          <w:ilvl w:val="0"/>
          <w:numId w:val="1004"/>
        </w:numPr>
        <w:pStyle w:val="Compact"/>
      </w:pPr>
      <w:r>
        <w:rPr>
          <w:bCs/>
          <w:b/>
        </w:rPr>
        <w:t xml:space="preserve">Emission Factors:</w:t>
      </w:r>
    </w:p>
    <w:p>
      <w:pPr>
        <w:numPr>
          <w:ilvl w:val="1"/>
          <w:numId w:val="1007"/>
        </w:numPr>
        <w:pStyle w:val="Compact"/>
      </w:pPr>
      <w:r>
        <w:t xml:space="preserve">Ocean Freight: 0.016 kgCO2e/tonne-km.</w:t>
      </w:r>
    </w:p>
    <w:p>
      <w:pPr>
        <w:numPr>
          <w:ilvl w:val="1"/>
          <w:numId w:val="1007"/>
        </w:numPr>
        <w:pStyle w:val="Compact"/>
      </w:pPr>
      <w:r>
        <w:t xml:space="preserve">Truck (heavy duty/mixed load): 0.07 kgCO2e/tonne-km.</w:t>
      </w:r>
    </w:p>
    <w:bookmarkEnd w:id="25"/>
    <w:bookmarkStart w:id="26" w:name="Xb6379c31f00345ccff01e90b5cbf0314a51933a"/>
    <w:p>
      <w:pPr>
        <w:pStyle w:val="Heading3"/>
      </w:pPr>
      <w:r>
        <w:t xml:space="preserve">Use Phase (Downstream - Scope 3, Category 11: Use of Sold Products)</w:t>
      </w:r>
    </w:p>
    <w:p>
      <w:pPr>
        <w:pStyle w:val="FirstParagraph"/>
      </w:pPr>
      <w:r>
        <w:t xml:space="preserve">Emissions during the product\'s operational lifespan are considered, given the product\'s energy consumption characteristics.</w:t>
      </w:r>
    </w:p>
    <w:p>
      <w:pPr>
        <w:numPr>
          <w:ilvl w:val="0"/>
          <w:numId w:val="1008"/>
        </w:numPr>
        <w:pStyle w:val="Compact"/>
      </w:pPr>
      <w:r>
        <w:rPr>
          <w:bCs/>
          <w:b/>
        </w:rPr>
        <w:t xml:space="preserve">Product Lifespan (hymehqlghv):</w:t>
      </w:r>
      <w:r>
        <w:t xml:space="preserve"> </w:t>
      </w:r>
      <w:r>
        <w:t xml:space="preserve">3 years</w:t>
      </w:r>
      <w:r>
        <w:t xml:space="preserve"> </w:t>
      </w:r>
      <w:r>
        <w:rPr>
          <w:iCs/>
          <w:i/>
        </w:rPr>
        <w:t xml:space="preserve">(Illustrative value)</w:t>
      </w:r>
    </w:p>
    <w:p>
      <w:pPr>
        <w:numPr>
          <w:ilvl w:val="0"/>
          <w:numId w:val="1008"/>
        </w:numPr>
        <w:pStyle w:val="Compact"/>
      </w:pPr>
      <w:r>
        <w:rPr>
          <w:bCs/>
          <w:b/>
        </w:rPr>
        <w:t xml:space="preserve">Energy Consumption in Use (qxjpgsdkwy):</w:t>
      </w:r>
      <w:r>
        <w:t xml:space="preserve"> </w:t>
      </w:r>
      <w:r>
        <w:t xml:space="preserve">10 kWh over the entire lifespan</w:t>
      </w:r>
      <w:r>
        <w:t xml:space="preserve"> </w:t>
      </w:r>
      <w:r>
        <w:rPr>
          <w:iCs/>
          <w:i/>
        </w:rPr>
        <w:t xml:space="preserve">(Illustrative value)</w:t>
      </w:r>
    </w:p>
    <w:p>
      <w:pPr>
        <w:numPr>
          <w:ilvl w:val="0"/>
          <w:numId w:val="1008"/>
        </w:numPr>
        <w:pStyle w:val="Compact"/>
      </w:pPr>
      <w:r>
        <w:rPr>
          <w:bCs/>
          <w:b/>
        </w:rPr>
        <w:t xml:space="preserve">Europe Average Grid Electricity Emission Factor:</w:t>
      </w:r>
      <w:r>
        <w:t xml:space="preserve"> </w:t>
      </w:r>
      <w:r>
        <w:t xml:space="preserve">0.25 kgCO2e/kWh</w:t>
      </w:r>
      <w:r>
        <w:t xml:space="preserve"> </w:t>
      </w:r>
      <w:r>
        <w:rPr>
          <w:iCs/>
          <w:i/>
        </w:rPr>
        <w:t xml:space="preserve">(Illustrative average for European electricity mix)</w:t>
      </w:r>
    </w:p>
    <w:bookmarkEnd w:id="26"/>
    <w:bookmarkStart w:id="27" w:name="X1cfd742b3058aacf0b20cbe81020866aff2669f"/>
    <w:p>
      <w:pPr>
        <w:pStyle w:val="Heading3"/>
      </w:pPr>
      <w:r>
        <w:t xml:space="preserve">End-of-Life (Downstream - Scope 3, Category 12: End-of-Life Treatment of Sold Products)</w:t>
      </w:r>
    </w:p>
    <w:p>
      <w:pPr>
        <w:pStyle w:val="FirstParagraph"/>
      </w:pPr>
      <w:r>
        <w:t xml:space="preserve">The fate of the product at the end of its life, including recycling and disposal, is assessed.</w:t>
      </w:r>
    </w:p>
    <w:p>
      <w:pPr>
        <w:numPr>
          <w:ilvl w:val="0"/>
          <w:numId w:val="1009"/>
        </w:numPr>
        <w:pStyle w:val="Compact"/>
      </w:pPr>
      <w:r>
        <w:rPr>
          <w:bCs/>
          <w:b/>
        </w:rPr>
        <w:t xml:space="preserve">Recyclability Percentage (lrtfnpexlt):</w:t>
      </w:r>
      <w:r>
        <w:t xml:space="preserve"> </w:t>
      </w:r>
      <w:r>
        <w:t xml:space="preserve">70%</w:t>
      </w:r>
      <w:r>
        <w:t xml:space="preserve"> </w:t>
      </w:r>
      <w:r>
        <w:rPr>
          <w:iCs/>
          <w:i/>
        </w:rPr>
        <w:t xml:space="preserve">(Illustrative value)</w:t>
      </w:r>
    </w:p>
    <w:p>
      <w:pPr>
        <w:numPr>
          <w:ilvl w:val="0"/>
          <w:numId w:val="1009"/>
        </w:numPr>
        <w:pStyle w:val="Compact"/>
      </w:pPr>
      <w:r>
        <w:rPr>
          <w:bCs/>
          <w:b/>
        </w:rPr>
        <w:t xml:space="preserve">Circular/Take-back Programs (jxowuwowyk):</w:t>
      </w:r>
      <w:r>
        <w:t xml:space="preserve"> </w:t>
      </w:r>
      <w:r>
        <w:t xml:space="preserve">Active take-back program leading to higher recycling rates.</w:t>
      </w:r>
    </w:p>
    <w:p>
      <w:pPr>
        <w:numPr>
          <w:ilvl w:val="0"/>
          <w:numId w:val="1009"/>
        </w:numPr>
        <w:pStyle w:val="Compact"/>
      </w:pPr>
      <w:r>
        <w:rPr>
          <w:bCs/>
          <w:b/>
        </w:rPr>
        <w:t xml:space="preserve">Emission Factors (Illustrative):</w:t>
      </w:r>
    </w:p>
    <w:p>
      <w:pPr>
        <w:numPr>
          <w:ilvl w:val="1"/>
          <w:numId w:val="1010"/>
        </w:numPr>
        <w:pStyle w:val="Compact"/>
      </w:pPr>
      <w:r>
        <w:t xml:space="preserve">Recycling Process: 0.2 kgCO2e/kg (Emissions from energy consumed in the recycling process itself).</w:t>
      </w:r>
    </w:p>
    <w:p>
      <w:pPr>
        <w:numPr>
          <w:ilvl w:val="1"/>
          <w:numId w:val="1010"/>
        </w:numPr>
        <w:pStyle w:val="Compact"/>
      </w:pPr>
      <w:r>
        <w:t xml:space="preserve">Landfill/Incineration: 0.1 kgCO2e/kg (Emissions from disposal of non-recycled components).</w:t>
      </w:r>
    </w:p>
    <w:p>
      <w:r>
        <w:pict>
          <v:rect style="width:0;height:1.5pt" o:hralign="center" o:hrstd="t" o:hr="t"/>
        </w:pict>
      </w:r>
    </w:p>
    <w:bookmarkEnd w:id="27"/>
    <w:bookmarkEnd w:id="28"/>
    <w:bookmarkStart w:id="41" w:name="calculate-emissions-co2e"/>
    <w:p>
      <w:pPr>
        <w:pStyle w:val="Heading2"/>
      </w:pPr>
      <w:r>
        <w:t xml:space="preserve">4. Calculate Emissions (CO2e)</w:t>
      </w:r>
    </w:p>
    <w:p>
      <w:pPr>
        <w:pStyle w:val="FirstParagraph"/>
      </w:pPr>
      <w:r>
        <w:t xml:space="preserve">Emissions are calculated for each lifecycle stage and categorized according to the GHG Protocol\'s Scope 1, 2, and 3 definitions. All results are expressed in kilograms of CO2 equivalent (kgCO2e) per functional unit.</w:t>
      </w:r>
    </w:p>
    <w:bookmarkStart w:id="29" w:name="scope-1-direct-emissions"/>
    <w:p>
      <w:pPr>
        <w:pStyle w:val="Heading3"/>
      </w:pPr>
      <w:r>
        <w:t xml:space="preserve">Scope 1: Direct Emissions</w:t>
      </w:r>
    </w:p>
    <w:p>
      <w:pPr>
        <w:pStyle w:val="FirstParagraph"/>
      </w:pPr>
      <w:r>
        <w:t xml:space="preserve">For a typical product manufacturing process without on-site fuel combustion or significant fugitive emissions directly attributable to the product, Scope 1 emissions are assumed to be negligible for the functional unit in this analysis. If there were direct process emissions or company-owned vehicle fuel consumption specifically for this product\'s manufacturing, they would be included here.</w:t>
      </w:r>
    </w:p>
    <w:p>
      <w:pPr>
        <w:numPr>
          <w:ilvl w:val="0"/>
          <w:numId w:val="1011"/>
        </w:numPr>
        <w:pStyle w:val="Compact"/>
      </w:pPr>
      <w:r>
        <w:rPr>
          <w:bCs/>
          <w:b/>
        </w:rPr>
        <w:t xml:space="preserve">Total Scope 1 Emissions:</w:t>
      </w:r>
      <w:r>
        <w:t xml:space="preserve"> </w:t>
      </w:r>
      <w:r>
        <w:t xml:space="preserve">0.00 kgCO2e/unit (Assumed negligible for product-specific direct operations)</w:t>
      </w:r>
    </w:p>
    <w:bookmarkEnd w:id="29"/>
    <w:bookmarkStart w:id="30" w:name="scope-2-purchased-energy-emissions"/>
    <w:p>
      <w:pPr>
        <w:pStyle w:val="Heading3"/>
      </w:pPr>
      <w:r>
        <w:t xml:space="preserve">Scope 2: Purchased Energy Emissions</w:t>
      </w:r>
    </w:p>
    <w:p>
      <w:pPr>
        <w:pStyle w:val="FirstParagraph"/>
      </w:pPr>
      <w:r>
        <w:t xml:space="preserve">These emissions result from the generation of purchased electricity consumed during the manufacturing of mmlifkdotu in China.</w:t>
      </w:r>
    </w:p>
    <w:p>
      <w:pPr>
        <w:pStyle w:val="BodyText"/>
      </w:pPr>
      <w:r>
        <w:rPr>
          <w:bCs/>
          <w:b/>
        </w:rPr>
        <w:t xml:space="preserve">Calculation:</w:t>
      </w:r>
      <w:r>
        <w:br/>
      </w:r>
      <w:r>
        <w:t xml:space="preserve">Non-Renewable Energy Consumption * China Grid Electricity Emission Factor</w:t>
      </w:r>
      <w:r>
        <w:br/>
      </w:r>
      <w:r>
        <w:t xml:space="preserve">= 3.5 kWh/unit * 0.577 kgCO2e/kWh</w:t>
      </w:r>
      <w:r>
        <w:br/>
      </w:r>
      <w:r>
        <w:rPr>
          <w:bCs/>
          <w:b/>
        </w:rPr>
        <w:t xml:space="preserve">Total Scope 2 Emissions:</w:t>
      </w:r>
      <w:r>
        <w:t xml:space="preserve"> </w:t>
      </w:r>
      <w:r>
        <w:t xml:space="preserve">2.02 kgCO2e/unit</w:t>
      </w:r>
    </w:p>
    <w:bookmarkEnd w:id="30"/>
    <w:bookmarkStart w:id="37" w:name="scope-3-value-chain-emissions"/>
    <w:p>
      <w:pPr>
        <w:pStyle w:val="Heading3"/>
      </w:pPr>
      <w:r>
        <w:t xml:space="preserve">Scope 3: Value Chain Emissions</w:t>
      </w:r>
    </w:p>
    <w:p>
      <w:pPr>
        <w:pStyle w:val="FirstParagraph"/>
      </w:pPr>
      <w:r>
        <w:t xml:space="preserve">Scope 3 encompasses all other indirect emissions occurring across the product\'s value chain, both upstream and downstream. This is often the largest portion of a product\'s carbon footprint.</w:t>
      </w:r>
    </w:p>
    <w:bookmarkStart w:id="31" w:name="Xab9729a0caae076ca89f2f71668734f92723cf2"/>
    <w:p>
      <w:pPr>
        <w:pStyle w:val="Heading4"/>
      </w:pPr>
      <w:r>
        <w:t xml:space="preserve">Category 1: Purchased Goods and Services (Materials)</w:t>
      </w:r>
    </w:p>
    <w:p>
      <w:pPr>
        <w:pStyle w:val="FirstParagraph"/>
      </w:pPr>
      <w:r>
        <w:t xml:space="preserve">Emissions from the extraction, production, and transport of raw materials and components for mmlifkdotu.</w:t>
      </w:r>
    </w:p>
    <w:p>
      <w:pPr>
        <w:pStyle w:val="BodyText"/>
      </w:pPr>
      <w:r>
        <w:rPr>
          <w:bCs/>
          <w:b/>
        </w:rPr>
        <w:t xml:space="preserve">Total Material Emissions (from BOM):</w:t>
      </w:r>
      <w:r>
        <w:t xml:space="preserve"> </w:t>
      </w:r>
      <w:r>
        <w:t xml:space="preserve">9.04 kgCO2e/unit</w:t>
      </w:r>
    </w:p>
    <w:bookmarkEnd w:id="31"/>
    <w:bookmarkStart w:id="32" w:name="X9d087a441400f4149471226f2d7a3ad8fabd7a8"/>
    <w:p>
      <w:pPr>
        <w:pStyle w:val="Heading4"/>
      </w:pPr>
      <w:r>
        <w:t xml:space="preserve">Category 3: Fuel- and Energy-Related Activities (not included in Scope 1 or 2)</w:t>
      </w:r>
    </w:p>
    <w:p>
      <w:pPr>
        <w:pStyle w:val="FirstParagraph"/>
      </w:pPr>
      <w:r>
        <w:t xml:space="preserve">This category would include upstream emissions from the production of fuels consumed in Scope 1 and 2, as well as transmission and distribution losses for purchased electricity. For simplicity in this illustrative report, the primary focus is on Scope 2 for direct electricity consumption. However, these upstream elements for electricity would typically be factored into a comprehensive Scope 3, Category 3 calculation if more detailed grid life cycle inventory data was available.</w:t>
      </w:r>
    </w:p>
    <w:p>
      <w:pPr>
        <w:numPr>
          <w:ilvl w:val="0"/>
          <w:numId w:val="1012"/>
        </w:numPr>
        <w:pStyle w:val="Compact"/>
      </w:pPr>
      <w:r>
        <w:rPr>
          <w:bCs/>
          <w:b/>
        </w:rPr>
        <w:t xml:space="preserve">Upstream emissions from electricity generation:</w:t>
      </w:r>
      <w:r>
        <w:t xml:space="preserve"> </w:t>
      </w:r>
      <w:r>
        <w:t xml:space="preserve">While the 0.577 kgCO2e/kWh factor is primarily generation-related, a specific breakdown for T&amp;D losses is not applied here, but would be considered in a full Category 3 assessment.</w:t>
      </w:r>
    </w:p>
    <w:p>
      <w:pPr>
        <w:numPr>
          <w:ilvl w:val="0"/>
          <w:numId w:val="1012"/>
        </w:numPr>
        <w:pStyle w:val="Compact"/>
      </w:pPr>
      <w:r>
        <w:rPr>
          <w:bCs/>
          <w:b/>
        </w:rPr>
        <w:t xml:space="preserve">Total Scope 3, Category 3 Emissions:</w:t>
      </w:r>
      <w:r>
        <w:t xml:space="preserve"> </w:t>
      </w:r>
      <w:r>
        <w:t xml:space="preserve">0.00 kgCO2e/unit (Not explicitly calculated separately in this illustrative example, as primary electricity consumption is in Scope 2.)</w:t>
      </w:r>
    </w:p>
    <w:bookmarkEnd w:id="32"/>
    <w:bookmarkStart w:id="33" w:name="X6669a43143349c25ec93e775eebde43de53a73c"/>
    <w:p>
      <w:pPr>
        <w:pStyle w:val="Heading4"/>
      </w:pPr>
      <w:r>
        <w:t xml:space="preserve">Category 4: Upstream Transportation and Distribution</w:t>
      </w:r>
    </w:p>
    <w:p>
      <w:pPr>
        <w:pStyle w:val="FirstParagraph"/>
      </w:pPr>
      <w:r>
        <w:t xml:space="preserve">Emissions from the transport of raw materials and components to the manufacturing facility in China (already included in the BOM\'s "Total Carbon" if cradle-to-gate factors were used). For this report, we consider the transport of the finished product from China.</w:t>
      </w:r>
    </w:p>
    <w:p>
      <w:pPr>
        <w:pStyle w:val="BodyText"/>
      </w:pPr>
      <w:r>
        <w:rPr>
          <w:bCs/>
          <w:b/>
        </w:rPr>
        <w:t xml:space="preserve">International Transport (Ocean Freight):</w:t>
      </w:r>
      <w:r>
        <w:br/>
      </w:r>
      <w:r>
        <w:t xml:space="preserve">Product Weight (tonne) * Distance (km) * Emission Factor (kgCO2e/tonne-km)</w:t>
      </w:r>
      <w:r>
        <w:br/>
      </w:r>
      <w:r>
        <w:t xml:space="preserve">= (1 kg / 1000) tonne * 9000 km * 0.016 kgCO2e/tonne-km</w:t>
      </w:r>
      <w:r>
        <w:br/>
      </w:r>
      <w:r>
        <w:t xml:space="preserve">= 0.001 tonne * 9000 km * 0.016 kgCO2e/tonne-km = 0.144 kgCO2e/unit</w:t>
      </w:r>
    </w:p>
    <w:bookmarkEnd w:id="33"/>
    <w:bookmarkStart w:id="34"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factory gate to the customer, including last-mile delivery within Europe.</w:t>
      </w:r>
    </w:p>
    <w:p>
      <w:pPr>
        <w:pStyle w:val="BodyText"/>
      </w:pPr>
      <w:r>
        <w:rPr>
          <w:bCs/>
          <w:b/>
        </w:rPr>
        <w:t xml:space="preserve">Intra-Europe Transport (Truck - Factory to Distribution):</w:t>
      </w:r>
      <w:r>
        <w:br/>
      </w:r>
      <w:r>
        <w:t xml:space="preserve">Product Weight (tonne) * Distance (km) * Emission Factor (kgCO2e/tonne-km)</w:t>
      </w:r>
      <w:r>
        <w:br/>
      </w:r>
      <w:r>
        <w:t xml:space="preserve">= (1 kg / 1000) tonne * 400 km * 0.07 kgCO2e/tonne-km</w:t>
      </w:r>
      <w:r>
        <w:br/>
      </w:r>
      <w:r>
        <w:t xml:space="preserve">= 0.001 tonne * 400 km * 0.07 kgCO2e/tonne-km = 0.028 kgCO2e/unit</w:t>
      </w:r>
    </w:p>
    <w:p>
      <w:pPr>
        <w:pStyle w:val="BodyText"/>
      </w:pPr>
      <w:r>
        <w:rPr>
          <w:bCs/>
          <w:b/>
        </w:rPr>
        <w:t xml:space="preserve">Last-Mile Delivery (Truck/Van):</w:t>
      </w:r>
      <w:r>
        <w:br/>
      </w:r>
      <w:r>
        <w:t xml:space="preserve">Product Weight (tonne) * Distance (km) * Emission Factor (kgCO2e/tonne-km)</w:t>
      </w:r>
      <w:r>
        <w:br/>
      </w:r>
      <w:r>
        <w:t xml:space="preserve">= (1 kg / 1000) tonne * 100 km * 0.07 kgCO2e/tonne-km</w:t>
      </w:r>
      <w:r>
        <w:br/>
      </w:r>
      <w:r>
        <w:t xml:space="preserve">= 0.001 tonne * 100 km * 0.07 kgCO2e/tonne-km = 0.007 kgCO2e/unit</w:t>
      </w:r>
    </w:p>
    <w:p>
      <w:pPr>
        <w:pStyle w:val="BodyText"/>
      </w:pPr>
      <w:r>
        <w:rPr>
          <w:bCs/>
          <w:b/>
        </w:rPr>
        <w:t xml:space="preserve">Total Downstream Transport Emissions:</w:t>
      </w:r>
      <w:r>
        <w:t xml:space="preserve"> </w:t>
      </w:r>
      <w:r>
        <w:t xml:space="preserve">0.028 + 0.007 = 0.035 kgCO2e/unit</w:t>
      </w:r>
    </w:p>
    <w:bookmarkEnd w:id="34"/>
    <w:bookmarkStart w:id="35" w:name="category-11-use-of-sold-products"/>
    <w:p>
      <w:pPr>
        <w:pStyle w:val="Heading4"/>
      </w:pPr>
      <w:r>
        <w:t xml:space="preserve">Category 11: Use of Sold Products</w:t>
      </w:r>
    </w:p>
    <w:p>
      <w:pPr>
        <w:pStyle w:val="FirstParagraph"/>
      </w:pPr>
      <w:r>
        <w:t xml:space="preserve">Emissions from the energy consumed during the product\'s lifespan.</w:t>
      </w:r>
    </w:p>
    <w:p>
      <w:pPr>
        <w:pStyle w:val="BodyText"/>
      </w:pPr>
      <w:r>
        <w:rPr>
          <w:bCs/>
          <w:b/>
        </w:rPr>
        <w:t xml:space="preserve">Calculation:</w:t>
      </w:r>
      <w:r>
        <w:br/>
      </w:r>
      <w:r>
        <w:t xml:space="preserve">Energy Consumption in Use * Europe Average Grid Electricity Emission Factor</w:t>
      </w:r>
      <w:r>
        <w:br/>
      </w:r>
      <w:r>
        <w:t xml:space="preserve">= 10 kWh/unit * 0.25 kgCO2e/kWh</w:t>
      </w:r>
      <w:r>
        <w:br/>
      </w:r>
      <w:r>
        <w:rPr>
          <w:bCs/>
          <w:b/>
        </w:rPr>
        <w:t xml:space="preserve">Total Use Phase Emissions:</w:t>
      </w:r>
      <w:r>
        <w:t xml:space="preserve"> </w:t>
      </w:r>
      <w:r>
        <w:t xml:space="preserve">2.50 kgCO2e/unit</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associated with the disposal or recycling of the product at the end of its life.</w:t>
      </w:r>
    </w:p>
    <w:p>
      <w:pPr>
        <w:pStyle w:val="BodyText"/>
      </w:pPr>
      <w:r>
        <w:rPr>
          <w:bCs/>
          <w:b/>
        </w:rPr>
        <w:t xml:space="preserve">Calculations:</w:t>
      </w:r>
      <w:r>
        <w:br/>
      </w:r>
      <w:r>
        <w:t xml:space="preserve">Recycled portion: Product Weight * Recyclability Percentage * Recycling Process EF</w:t>
      </w:r>
      <w:r>
        <w:br/>
      </w:r>
      <w:r>
        <w:t xml:space="preserve">= 1 kg * 70% * 0.2 kgCO2e/kg</w:t>
      </w:r>
      <w:r>
        <w:br/>
      </w:r>
      <w:r>
        <w:t xml:space="preserve">= 0.14 kgCO2e/unit (Emissions from energy for recycling processes)</w:t>
      </w:r>
    </w:p>
    <w:p>
      <w:pPr>
        <w:pStyle w:val="BodyText"/>
      </w:pPr>
      <w:r>
        <w:t xml:space="preserve">Disposed portion: Product Weight * (1 - Recyclability Percentage) * Disposal EF</w:t>
      </w:r>
      <w:r>
        <w:br/>
      </w:r>
      <w:r>
        <w:t xml:space="preserve">= 1 kg * (1 - 70%) * 0.1 kgCO2e/kg</w:t>
      </w:r>
      <w:r>
        <w:br/>
      </w:r>
      <w:r>
        <w:t xml:space="preserve">= 0.03 kgCO2e/unit (Emissions from landfill/incineration)</w:t>
      </w:r>
    </w:p>
    <w:p>
      <w:pPr>
        <w:pStyle w:val="BodyText"/>
      </w:pPr>
      <w:r>
        <w:rPr>
          <w:bCs/>
          <w:b/>
        </w:rPr>
        <w:t xml:space="preserve">Total End-of-Life Emissions:</w:t>
      </w:r>
      <w:r>
        <w:t xml:space="preserve"> </w:t>
      </w:r>
      <w:r>
        <w:t xml:space="preserve">0.14 + 0.03 = 0.17 kgCO2e/unit</w:t>
      </w:r>
    </w:p>
    <w:bookmarkEnd w:id="36"/>
    <w:bookmarkEnd w:id="37"/>
    <w:bookmarkStart w:id="38" w:name="X4dadc0e2643557a347d0a10eae5c8122a040d33"/>
    <w:p>
      <w:pPr>
        <w:pStyle w:val="Heading3"/>
      </w:pPr>
      <w:r>
        <w:t xml:space="preserve">Summary of Calculated Emissions (per 1.0 unit of mmlifkdotu)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2.02</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9.04</w:t>
            </w:r>
          </w:p>
        </w:tc>
      </w:tr>
      <w:tr>
        <w:tc>
          <w:tcPr/>
          <w:p>
            <w:pPr>
              <w:pStyle w:val="Compact"/>
              <w:jc w:val="left"/>
            </w:pPr>
            <w:r>
              <w:t xml:space="preserve">   Category 3</w:t>
            </w:r>
          </w:p>
        </w:tc>
        <w:tc>
          <w:tcPr/>
          <w:p>
            <w:pPr>
              <w:pStyle w:val="Compact"/>
              <w:jc w:val="left"/>
            </w:pPr>
            <w:r>
              <w:t xml:space="preserve">Fuel- and Energy-Related Activities (Upstream electricity T&amp;D losses, etc.)</w:t>
            </w:r>
          </w:p>
        </w:tc>
        <w:tc>
          <w:tcPr/>
          <w:p>
            <w:pPr>
              <w:pStyle w:val="Compact"/>
              <w:jc w:val="left"/>
            </w:pPr>
            <w:r>
              <w:t xml:space="preserve">0.00</w:t>
            </w:r>
            <w:r>
              <w:t xml:space="preserve"> </w:t>
            </w:r>
            <w:r>
              <w:t xml:space="preserve">(Not explicitly quantified in this illustrative example)</w:t>
            </w:r>
          </w:p>
        </w:tc>
      </w:tr>
      <w:tr>
        <w:tc>
          <w:tcPr/>
          <w:p>
            <w:pPr>
              <w:pStyle w:val="Compact"/>
              <w:jc w:val="left"/>
            </w:pPr>
            <w:r>
              <w:t xml:space="preserve">   Category 4</w:t>
            </w:r>
          </w:p>
        </w:tc>
        <w:tc>
          <w:tcPr/>
          <w:p>
            <w:pPr>
              <w:pStyle w:val="Compact"/>
              <w:jc w:val="left"/>
            </w:pPr>
            <w:r>
              <w:t xml:space="preserve">Upstream Transportation &amp; Distribution (International freight to factory)</w:t>
            </w:r>
          </w:p>
        </w:tc>
        <w:tc>
          <w:tcPr/>
          <w:p>
            <w:pPr>
              <w:pStyle w:val="Compact"/>
              <w:jc w:val="left"/>
            </w:pPr>
            <w:r>
              <w:t xml:space="preserve">0.144</w:t>
            </w:r>
          </w:p>
        </w:tc>
      </w:tr>
      <w:tr>
        <w:tc>
          <w:tcPr/>
          <w:p>
            <w:pPr>
              <w:pStyle w:val="Compact"/>
              <w:jc w:val="left"/>
            </w:pPr>
            <w:r>
              <w:t xml:space="preserve">   Category 9</w:t>
            </w:r>
          </w:p>
        </w:tc>
        <w:tc>
          <w:tcPr/>
          <w:p>
            <w:pPr>
              <w:pStyle w:val="Compact"/>
              <w:jc w:val="left"/>
            </w:pPr>
            <w:r>
              <w:t xml:space="preserve">Downstream Transportation &amp; Distribution (Factory to customer, incl. last mile)</w:t>
            </w:r>
          </w:p>
        </w:tc>
        <w:tc>
          <w:tcPr/>
          <w:p>
            <w:pPr>
              <w:pStyle w:val="Compact"/>
              <w:jc w:val="left"/>
            </w:pPr>
            <w:r>
              <w:t xml:space="preserve">0.035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2.50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0.17</w:t>
            </w:r>
          </w:p>
        </w:tc>
      </w:tr>
      <w:tr>
        <w:tc>
          <w:tcPr>
            <w:gridSpan w:val="2"/>
          </w:tcPr>
          <w:p>
            <w:pPr>
              <w:pStyle w:val="Compact"/>
              <w:jc w:val="right"/>
            </w:pPr>
            <w:r>
              <w:t xml:space="preserve">Grand Total Product Carbon Footprint (kgCO2e/unit):</w:t>
            </w:r>
          </w:p>
        </w:tc>
        <w:tc>
          <w:tcPr/>
          <w:p>
            <w:pPr>
              <w:pStyle w:val="Compact"/>
              <w:jc w:val="left"/>
            </w:pPr>
            <w:r>
              <w:rPr>
                <w:bCs/>
                <w:b/>
              </w:rPr>
              <w:t xml:space="preserve">13.91</w:t>
            </w:r>
          </w:p>
        </w:tc>
      </w:tr>
    </w:tbl>
    <w:bookmarkEnd w:id="38"/>
    <w:bookmarkStart w:id="39" w:name="X70f835b837f1aa1c51e58d34f7e1362f80d3b36"/>
    <w:p>
      <w:pPr>
        <w:pStyle w:val="Heading3"/>
      </w:pPr>
      <w:r>
        <w:t xml:space="preserve">2026 Land Sector and Removals (LSR) Standard Update Application</w:t>
      </w:r>
    </w:p>
    <w:p>
      <w:pPr>
        <w:pStyle w:val="FirstParagraph"/>
      </w:pPr>
      <w:r>
        <w:t xml:space="preserve">The GHG Protocol\'s Land Sector and Removals Standard, published on January 30, 2026, and effective January 1, 2027, provides accounting requirements for entities with significant land sector activities and those choosing to report CO2 removals. For mmlifkdotu, a manufactured product with a focus on materials and energy, direct land use change emissions or carbon removals are not explicitly detailed in the provided parameters. However, in a complete PCF, if any raw materials (e.g., bio-based plastics, wood fibers) had significant land-use change implications in their upstream production, or if carbon removals (e.g., through carbon capture in manufacturing) were part of the process, these would be quantified and reported according to the LSR Standard\'s guidelines. The LSR Standard primarily addresses agriculture and CO2 removal technologies, with forestry guidance to follow in future updates. Its forthcoming guidance in Q2 2026 will further aid implementation.</w:t>
      </w:r>
    </w:p>
    <w:bookmarkEnd w:id="39"/>
    <w:bookmarkStart w:id="40" w:name="scope-3-compliance-95-coverage"/>
    <w:p>
      <w:pPr>
        <w:pStyle w:val="Heading3"/>
      </w:pPr>
      <w:r>
        <w:t xml:space="preserve">Scope 3 Compliance (95% Coverage)</w:t>
      </w:r>
    </w:p>
    <w:p>
      <w:pPr>
        <w:pStyle w:val="FirstParagraph"/>
      </w:pPr>
      <w:r>
        <w:t xml:space="preserve">By including comprehensive calculations for purchased goods and services (materials), upstream and downstream transportation, the use phase, and end-of-life treatment, this analysis achieves a high level of coverage for Scope 3 emissions. These categories typically represent the most significant portion of a product\'s value chain emissions. The detailed breakdown aims to ensure at least 95% coverage for Scope 3 reporting, aligning with 2026 requirements, subject to the completeness and accuracy of underlying data sources.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Based on the illustrative calculations, the primary emission hotspots for mmlifkdotu are:</w:t>
      </w:r>
    </w:p>
    <w:p>
      <w:pPr>
        <w:numPr>
          <w:ilvl w:val="0"/>
          <w:numId w:val="1013"/>
        </w:numPr>
        <w:pStyle w:val="Compact"/>
      </w:pPr>
      <w:r>
        <w:rPr>
          <w:bCs/>
          <w:b/>
        </w:rPr>
        <w:t xml:space="preserve">Materials (Scope 3, Category 1):</w:t>
      </w:r>
      <w:r>
        <w:t xml:space="preserve"> </w:t>
      </w:r>
      <w:r>
        <w:t xml:space="preserve">Constituting the largest share (approximately 65%), the extraction and production of raw materials, particularly the assumed aluminum, electronics, and battery components, are significant contributors.</w:t>
      </w:r>
    </w:p>
    <w:p>
      <w:pPr>
        <w:numPr>
          <w:ilvl w:val="0"/>
          <w:numId w:val="1013"/>
        </w:numPr>
        <w:pStyle w:val="Compact"/>
      </w:pPr>
      <w:r>
        <w:rPr>
          <w:bCs/>
          <w:b/>
        </w:rPr>
        <w:t xml:space="preserve">Use Phase (Scope 3, Category 11):</w:t>
      </w:r>
      <w:r>
        <w:t xml:space="preserve"> </w:t>
      </w:r>
      <w:r>
        <w:t xml:space="preserve">The energy consumption during the product\'s lifespan (around 18%) represents the second major hotspot, largely dependent on the electricity grid mix where the product is used.</w:t>
      </w:r>
    </w:p>
    <w:p>
      <w:pPr>
        <w:numPr>
          <w:ilvl w:val="0"/>
          <w:numId w:val="1013"/>
        </w:numPr>
        <w:pStyle w:val="Compact"/>
      </w:pPr>
      <w:r>
        <w:rPr>
          <w:bCs/>
          <w:b/>
        </w:rPr>
        <w:t xml:space="preserve">Production (Scope 2):</w:t>
      </w:r>
      <w:r>
        <w:t xml:space="preserve"> </w:t>
      </w:r>
      <w:r>
        <w:t xml:space="preserve">Purchased electricity for manufacturing (around 14%) is also a notable contributor, directly linked to the energy intensity of production and the carbon intensity of the Chinese grid.</w:t>
      </w:r>
    </w:p>
    <w:bookmarkEnd w:id="42"/>
    <w:bookmarkStart w:id="44" w:name="reliability-and-recommendations"/>
    <w:p>
      <w:pPr>
        <w:pStyle w:val="Heading3"/>
      </w:pPr>
      <w:r>
        <w:t xml:space="preserve">Reliability and Recommendations</w:t>
      </w:r>
    </w:p>
    <w:p>
      <w:pPr>
        <w:pStyle w:val="FirstParagraph"/>
      </w:pPr>
      <w:r>
        <w:t xml:space="preserve">The reliability of this report is directly influenced by the quality and specificity of the input data. Since illustrative values were used for several parameters (e.g., specific transport modes, distances, energy consumption in use, and end-of-life scenarios) and general industry-average emission factors, the results are indicative estimates.</w:t>
      </w:r>
    </w:p>
    <w:bookmarkStart w:id="43" w:name="recommendations-for-tpikwsnxtu"/>
    <w:p>
      <w:pPr>
        <w:pStyle w:val="Heading4"/>
      </w:pPr>
      <w:r>
        <w:t xml:space="preserve">Recommendations for tpikwsnxtu:</w:t>
      </w:r>
    </w:p>
    <w:p>
      <w:pPr>
        <w:numPr>
          <w:ilvl w:val="0"/>
          <w:numId w:val="1014"/>
        </w:numPr>
        <w:pStyle w:val="Compact"/>
      </w:pPr>
      <w:r>
        <w:rPr>
          <w:bCs/>
          <w:b/>
        </w:rPr>
        <w:t xml:space="preserve">Supplier Engagement:</w:t>
      </w:r>
      <w:r>
        <w:t xml:space="preserve"> </w:t>
      </w:r>
      <w:r>
        <w:t xml:space="preserve">Collaborate with material suppliers to obtain primary, cradle-to-gate PCF data for components. This is critical for improving the accuracy of Scope 3, Category 1 emissions.</w:t>
      </w:r>
    </w:p>
    <w:p>
      <w:pPr>
        <w:numPr>
          <w:ilvl w:val="0"/>
          <w:numId w:val="1014"/>
        </w:numPr>
        <w:pStyle w:val="Compact"/>
      </w:pPr>
      <w:r>
        <w:rPr>
          <w:bCs/>
          <w:b/>
        </w:rPr>
        <w:t xml:space="preserve">Energy Efficiency &amp; Renewables:</w:t>
      </w:r>
      <w:r>
        <w:t xml:space="preserve"> </w:t>
      </w:r>
      <w:r>
        <w:t xml:space="preserve">Invest in further increasing renewable energy usage at manufacturing facilities and improving energy efficiency to reduce Scope 2 emissions.</w:t>
      </w:r>
    </w:p>
    <w:p>
      <w:pPr>
        <w:numPr>
          <w:ilvl w:val="0"/>
          <w:numId w:val="1014"/>
        </w:numPr>
        <w:pStyle w:val="Compact"/>
      </w:pPr>
      <w:r>
        <w:rPr>
          <w:bCs/>
          <w:b/>
        </w:rPr>
        <w:t xml:space="preserve">Product Design for Sustainability:</w:t>
      </w:r>
      <w:r>
        <w:t xml:space="preserve"> </w:t>
      </w:r>
      <w:r>
        <w:t xml:space="preserve">Explore alternative materials with lower embodied carbon, extend product lifespan, and design for easier disassembly and repair to reduce use-phase and end-of-life impacts.</w:t>
      </w:r>
    </w:p>
    <w:p>
      <w:pPr>
        <w:numPr>
          <w:ilvl w:val="0"/>
          <w:numId w:val="1014"/>
        </w:numPr>
        <w:pStyle w:val="Compact"/>
      </w:pPr>
      <w:r>
        <w:rPr>
          <w:bCs/>
          <w:b/>
        </w:rPr>
        <w:t xml:space="preserve">Logistics Optimization:</w:t>
      </w:r>
      <w:r>
        <w:t xml:space="preserve"> </w:t>
      </w:r>
      <w:r>
        <w:t xml:space="preserve">Optimize transport routes, explore lower-emission transport modes (e.g., rail over road where feasible), and ensure high load factors to reduce Scope 3 transport emissions.</w:t>
      </w:r>
    </w:p>
    <w:p>
      <w:pPr>
        <w:numPr>
          <w:ilvl w:val="0"/>
          <w:numId w:val="1014"/>
        </w:numPr>
        <w:pStyle w:val="Compact"/>
      </w:pPr>
      <w:r>
        <w:rPr>
          <w:bCs/>
          <w:b/>
        </w:rPr>
        <w:t xml:space="preserve">Enhanced Circularity:</w:t>
      </w:r>
      <w:r>
        <w:t xml:space="preserve"> </w:t>
      </w:r>
      <w:r>
        <w:t xml:space="preserve">Further develop and promote take-back and recycling programs, focusing on maximizing actual recycling rates and exploring reuse models to minimize end-of-life impacts.</w:t>
      </w:r>
    </w:p>
    <w:p>
      <w:pPr>
        <w:numPr>
          <w:ilvl w:val="0"/>
          <w:numId w:val="1014"/>
        </w:numPr>
        <w:pStyle w:val="Compact"/>
      </w:pPr>
      <w:r>
        <w:rPr>
          <w:bCs/>
          <w:b/>
        </w:rPr>
        <w:t xml:space="preserve">Data Granularity:</w:t>
      </w:r>
      <w:r>
        <w:t xml:space="preserve"> </w:t>
      </w:r>
      <w:r>
        <w:t xml:space="preserve">For future assessments, collect more specific data on product weight for transport, actual last-mile delivery methods, and country-specific electricity mixes for the use phase.</w:t>
      </w:r>
    </w:p>
    <w:p>
      <w:r>
        <w:pict>
          <v:rect style="width:0;height:1.5pt" o:hralign="center" o:hrstd="t" o:hr="t"/>
        </w:pict>
      </w:r>
    </w:p>
    <w:p>
      <w:pPr>
        <w:pStyle w:val="FirstParagraph"/>
      </w:pPr>
      <w:r>
        <w:t xml:space="preserve">Confidential - Internal Use Only</w:t>
      </w:r>
    </w:p>
    <w:bookmarkEnd w:id="43"/>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mmlifkdotu</dc:title>
  <dc:creator/>
  <dc:description>High-detail Product Carbon Footprint (PCF) analysis report for mmlifkdotu, performed by xhvyhpuytm, Senior Sustainability Consultant for tpikwsnxtu, adhering to GHG Protocol standards and 2026 LSR update.</dc:description>
  <dc:language>en</dc:language>
  <cp:keywords/>
  <dcterms:created xsi:type="dcterms:W3CDTF">2026-05-30T12:40:43Z</dcterms:created>
  <dcterms:modified xsi:type="dcterms:W3CDTF">2026-05-30T12:40:43Z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