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mluwzxpjqw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luwzxpjqw"/>
    <w:p>
      <w:pPr>
        <w:pStyle w:val="Heading2"/>
      </w:pPr>
      <w:r>
        <w:t xml:space="preserve">Product: mluwzxpjqw</w:t>
      </w:r>
    </w:p>
    <w:p>
      <w:pPr>
        <w:pStyle w:val="FirstParagraph"/>
      </w:pPr>
      <w:r>
        <w:t xml:space="preserve">**Protocol Data (Accounting Standard):** GHG Protocol</w:t>
      </w:r>
    </w:p>
    <w:p>
      <w:pPr>
        <w:pStyle w:val="BodyText"/>
      </w:pPr>
      <w:r>
        <w:t xml:space="preserve">**Name of the Company:** jdvxppyipr</w:t>
      </w:r>
    </w:p>
    <w:p>
      <w:pPr>
        <w:pStyle w:val="BodyText"/>
      </w:pPr>
      <w:r>
        <w:t xml:space="preserve">**Senior Sustainability Consultant:** veqmghmoxo</w:t>
      </w:r>
    </w:p>
    <w:p>
      <w:pPr>
        <w:pStyle w:val="BodyText"/>
      </w:pPr>
      <w:r>
        <w:t xml:space="preserve">Disclaimer: This report is generated based on available data and industry standards, providing a high-level analysis. Detailed primary data collection would enhance accuracy.</w:t>
      </w:r>
    </w:p>
    <w:bookmarkEnd w:id="20"/>
    <w:bookmarkEnd w:id="21"/>
    <w:bookmarkStart w:id="42" w:name="Xef05306528fa46b58d1b90ece07f5c790007b38"/>
    <w:p>
      <w:pPr>
        <w:pStyle w:val="Heading1"/>
      </w:pPr>
      <w:r>
        <w:t xml:space="preserve">Product Carbon Footprint Analysis Report for mluwzxpjqw</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veqmghmoxo, Senior Sustainability Consultant</w:t>
      </w:r>
    </w:p>
    <w:p>
      <w:pPr>
        <w:pStyle w:val="BodyText"/>
      </w:pPr>
      <w:r>
        <w:rPr>
          <w:bCs/>
          <w:b/>
        </w:rPr>
        <w:t xml:space="preserve">For:</w:t>
      </w:r>
      <w:r>
        <w:t xml:space="preserve"> </w:t>
      </w:r>
      <w:r>
        <w:t xml:space="preserve">jdvxppyipr</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report provides a high-detail assessment of the greenhouse gas (GHG) emissions associated with the product mluwzxpjqw manufactured by jdvxppyipr. The analysis adheres strictly to the GHG Protocol standards, categorizing emissions into Scope 1, Scope 2, and Scope 3 across the product\'s lifecycle. Particular attention has been paid to the forthcoming 2026 updates, including the Land Sector and Removals (LSR) Standard and the enhanced 95% coverage requirement for Scope 3 emissions. The report identifies key emission hotspots, quantifies the carbon footprint per functional unit (1.0 unit), and offers insights for potential mitigation strategies to enhance the product\'s overall sustainability profile.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robust PCF analysis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 1.0 unit of the product mluwzxpjqw. This unit serves as the reference basis for all quantified environmental impacts.</w:t>
      </w:r>
    </w:p>
    <w:p>
      <w:pPr>
        <w:numPr>
          <w:ilvl w:val="0"/>
          <w:numId w:val="1001"/>
        </w:numPr>
        <w:pStyle w:val="Compact"/>
      </w:pPr>
      <w:r>
        <w:rPr>
          <w:bCs/>
          <w:b/>
        </w:rPr>
        <w:t xml:space="preserve">System Boundary:</w:t>
      </w:r>
      <w:r>
        <w:t xml:space="preserve"> </w:t>
      </w:r>
      <w:r>
        <w:t xml:space="preserve">A "factory_gate" system boundary has been applied. This means the analysis includes all processes from raw material extraction (cradle) through manufacturing at the jdvxppyipr production facility (gate). Downstream emissions (transportation to customer, use phase, and end-of-life) are included within Scope 3 as per GHG Protocol product standards to provide a comprehensive view of the product\'s lifecycle impacts.</w:t>
      </w:r>
    </w:p>
    <w:p>
      <w:pPr>
        <w:numPr>
          <w:ilvl w:val="0"/>
          <w:numId w:val="1001"/>
        </w:numPr>
        <w:pStyle w:val="Compact"/>
      </w:pPr>
      <w:r>
        <w:rPr>
          <w:bCs/>
          <w:b/>
        </w:rPr>
        <w:t xml:space="preserve">Geographic Scope:</w:t>
      </w:r>
      <w:r>
        <w:t xml:space="preserve"> </w:t>
      </w:r>
      <w:r>
        <w:t xml:space="preserve">The final production country for mluwzxpjqw is China. The supply chain focus, particularly for raw materials and upstream manufacturing, is primarily Europe-focused. For the use phase, a generalized European electricity mix is assumed given a Europe-focused supply chain for context.</w:t>
      </w:r>
    </w:p>
    <w:p>
      <w:pPr>
        <w:numPr>
          <w:ilvl w:val="0"/>
          <w:numId w:val="1001"/>
        </w:numPr>
        <w:pStyle w:val="Compact"/>
      </w:pPr>
      <w:r>
        <w:rPr>
          <w:bCs/>
          <w:b/>
        </w:rPr>
        <w:t xml:space="preserve">Allocation:</w:t>
      </w:r>
      <w:r>
        <w:t xml:space="preserve"> </w:t>
      </w:r>
      <w:r>
        <w:t xml:space="preserve">Emissions have been allocated based on physical parameters (e.g., mass) where direct attribution is not possible. Co-product allocation has followed the GHG Protocol\'s hierarchical approach, favoring physical allocation over economic allocation where appropriate.</w:t>
      </w:r>
    </w:p>
    <w:p>
      <w:r>
        <w:pict>
          <v:rect style="width:0;height:1.5pt" o:hralign="center" o:hrstd="t" o:hr="t"/>
        </w:pict>
      </w:r>
    </w:p>
    <w:bookmarkEnd w:id="23"/>
    <w:bookmarkStart w:id="29" w:name="mapping-lifecycle-3.-data-collection"/>
    <w:p>
      <w:pPr>
        <w:pStyle w:val="Heading2"/>
      </w:pPr>
      <w:r>
        <w:t xml:space="preserve">2. Mapping Lifecycle &amp; 3. Data Collection</w:t>
      </w:r>
    </w:p>
    <w:p>
      <w:pPr>
        <w:pStyle w:val="FirstParagraph"/>
      </w:pPr>
      <w:r>
        <w:t xml:space="preserve">This section details the lifecycle stages considered and the data points collected or estimated for the analysis. Data sources include primary data provided by jdvxppyipr and secondary industry-average data from recognized databases like Ecoinvent and DEFRA for activity data and emission factors.</w:t>
      </w:r>
    </w:p>
    <w:bookmarkStart w:id="24" w:name="X27a25553588624fb7137dac639b913f4bd3af60"/>
    <w:p>
      <w:pPr>
        <w:pStyle w:val="Heading3"/>
      </w:pPr>
      <w:r>
        <w:t xml:space="preserve">2.1. Material Acquisition &amp; Pre-processing (Upstream - Scope 3)</w:t>
      </w:r>
    </w:p>
    <w:p>
      <w:pPr>
        <w:pStyle w:val="FirstParagraph"/>
      </w:pPr>
      <w:r>
        <w:t xml:space="preserve">The Detailed Bill of Materials (BOM) for mluwzxpjqw is a critical input for high-accuracy material impact calculation. The table below presents illustrative data following the specified format, demonstrating the types of materials and their associated carbon footprints before assembly.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M006</w:t>
            </w:r>
          </w:p>
        </w:tc>
        <w:tc>
          <w:tcPr/>
          <w:p>
            <w:pPr>
              <w:pStyle w:val="Compact"/>
              <w:jc w:val="left"/>
            </w:pPr>
            <w:r>
              <w:t xml:space="preserve">Packaging Carton</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Instruction Manual</w:t>
            </w:r>
          </w:p>
        </w:tc>
        <w:tc>
          <w:tcPr/>
          <w:p>
            <w:pPr>
              <w:pStyle w:val="Compact"/>
              <w:jc w:val="left"/>
            </w:pPr>
            <w:r>
              <w:t xml:space="preserve">Paper/Cardboard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t xml:space="preserve">Total Material Emissions:</w:t>
            </w:r>
          </w:p>
        </w:tc>
        <w:tc>
          <w:tcPr/>
          <w:p>
            <w:pPr>
              <w:pStyle w:val="Compact"/>
              <w:jc w:val="left"/>
            </w:pPr>
            <w:r>
              <w:rPr>
                <w:bCs/>
                <w:b/>
              </w:rPr>
              <w:t xml:space="preserve">20.97 kgCO2e</w:t>
            </w:r>
          </w:p>
        </w:tc>
      </w:tr>
    </w:tbl>
    <w:p>
      <w:pPr>
        <w:pStyle w:val="BodyText"/>
      </w:pPr>
      <w:r>
        <w:rPr>
          <w:iCs/>
          <w:i/>
        </w:rPr>
        <w:t xml:space="preserve">Note: Emission Factors are illustrative, based on typical industry averages from databases like Ecoinvent or DEFRA for similar material categories.</w:t>
      </w:r>
    </w:p>
    <w:bookmarkEnd w:id="24"/>
    <w:bookmarkStart w:id="25" w:name="X11f5d096783fb9d2822b064c95541c3fbb06886"/>
    <w:p>
      <w:pPr>
        <w:pStyle w:val="Heading3"/>
      </w:pPr>
      <w:r>
        <w:t xml:space="preserve">2.2. Transportation (Upstream &amp; Downstream - Scope 3)</w:t>
      </w:r>
    </w:p>
    <w:p>
      <w:pPr>
        <w:pStyle w:val="FirstParagraph"/>
      </w:pPr>
      <w:r>
        <w:t xml:space="preserve">Logistics data is incorporated to calculate transportation-related emissions:</w:t>
      </w:r>
    </w:p>
    <w:p>
      <w:pPr>
        <w:numPr>
          <w:ilvl w:val="0"/>
          <w:numId w:val="1002"/>
        </w:numPr>
        <w:pStyle w:val="Compact"/>
      </w:pPr>
      <w:r>
        <w:rPr>
          <w:bCs/>
          <w:b/>
        </w:rPr>
        <w:t xml:space="preserve">Primary Transport Mode:</w:t>
      </w:r>
      <w:r>
        <w:t xml:space="preserve"> </w:t>
      </w:r>
      <w:r>
        <w:t xml:space="preserve">Ocean Freight</w:t>
      </w:r>
    </w:p>
    <w:p>
      <w:pPr>
        <w:numPr>
          <w:ilvl w:val="0"/>
          <w:numId w:val="1002"/>
        </w:numPr>
        <w:pStyle w:val="Compact"/>
      </w:pPr>
      <w:r>
        <w:rPr>
          <w:bCs/>
          <w:b/>
        </w:rPr>
        <w:t xml:space="preserve">Primary Transport Distance:</w:t>
      </w:r>
      <w:r>
        <w:t xml:space="preserve"> </w:t>
      </w:r>
      <w:r>
        <w:t xml:space="preserve">15,000 km</w:t>
      </w:r>
    </w:p>
    <w:p>
      <w:pPr>
        <w:numPr>
          <w:ilvl w:val="0"/>
          <w:numId w:val="1002"/>
        </w:numPr>
        <w:pStyle w:val="Compact"/>
      </w:pPr>
      <w:r>
        <w:rPr>
          <w:bCs/>
          <w:b/>
        </w:rPr>
        <w:t xml:space="preserve">Last-Mile Delivery Channel:</w:t>
      </w:r>
      <w:r>
        <w:t xml:space="preserve"> </w:t>
      </w:r>
      <w:r>
        <w:t xml:space="preserve">Road Freight - Delivery Van</w:t>
      </w:r>
    </w:p>
    <w:p>
      <w:pPr>
        <w:numPr>
          <w:ilvl w:val="0"/>
          <w:numId w:val="1002"/>
        </w:numPr>
        <w:pStyle w:val="Compact"/>
      </w:pPr>
      <w:r>
        <w:rPr>
          <w:bCs/>
          <w:b/>
        </w:rPr>
        <w:t xml:space="preserve">Last-Mile Delivery Distance:</w:t>
      </w:r>
      <w:r>
        <w:t xml:space="preserve"> </w:t>
      </w:r>
      <w:r>
        <w:t xml:space="preserve">500 km (estimated average)</w:t>
      </w:r>
    </w:p>
    <w:p>
      <w:pPr>
        <w:numPr>
          <w:ilvl w:val="0"/>
          <w:numId w:val="1002"/>
        </w:numPr>
        <w:pStyle w:val="Compact"/>
      </w:pPr>
      <w:r>
        <w:rPr>
          <w:bCs/>
          <w:b/>
        </w:rPr>
        <w:t xml:space="preserve">Assumed Product Weight for Transport:</w:t>
      </w:r>
      <w:r>
        <w:t xml:space="preserve"> </w:t>
      </w:r>
      <w:r>
        <w:t xml:space="preserve">2.95 kg/unit (total weight from BOM for 1 unit, approx 0.00295 tonnes/unit)</w:t>
      </w:r>
    </w:p>
    <w:p>
      <w:pPr>
        <w:pStyle w:val="FirstParagraph"/>
      </w:pPr>
      <w:r>
        <w:t xml:space="preserve">Emission factors used are based on industry averages (e.g., DEFRA, EPA for freight transport):</w:t>
      </w:r>
    </w:p>
    <w:p>
      <w:pPr>
        <w:numPr>
          <w:ilvl w:val="0"/>
          <w:numId w:val="1003"/>
        </w:numPr>
        <w:pStyle w:val="Compact"/>
      </w:pPr>
      <w:r>
        <w:t xml:space="preserve">Ocean Freight Emission Factor: 0.016 kgCO2e/tonne-km</w:t>
      </w:r>
    </w:p>
    <w:p>
      <w:pPr>
        <w:numPr>
          <w:ilvl w:val="0"/>
          <w:numId w:val="1003"/>
        </w:numPr>
        <w:pStyle w:val="Compact"/>
      </w:pPr>
      <w:r>
        <w:t xml:space="preserve">Road Freight Emission Factor (Delivery Van): 0.05 kgCO2e/tonne-km (illustrative, for light commercial vehicle freight)</w:t>
      </w:r>
    </w:p>
    <w:bookmarkEnd w:id="25"/>
    <w:bookmarkStart w:id="26" w:name="Xd7b9a8d407c98fc4495f3cfab8e6a82207c8395"/>
    <w:p>
      <w:pPr>
        <w:pStyle w:val="Heading3"/>
      </w:pPr>
      <w:r>
        <w:t xml:space="preserve">2.3. Production (Core Manufacturing - Scope 1 &amp; 2)</w:t>
      </w:r>
    </w:p>
    <w:p>
      <w:pPr>
        <w:pStyle w:val="FirstParagraph"/>
      </w:pPr>
      <w:r>
        <w:t xml:space="preserve">The energy consumed during the manufacturing of mluwzxpjqw in China is a significant factor. While Scope 1 (direct fuel combustion at the factory) is assumed to be negligible for this specific product\'s PCF (emissions primarily from purchased electricity), Scope 2 emissions are calculated based on purchased electricity.</w:t>
      </w:r>
    </w:p>
    <w:p>
      <w:pPr>
        <w:numPr>
          <w:ilvl w:val="0"/>
          <w:numId w:val="1004"/>
        </w:numPr>
        <w:pStyle w:val="Compact"/>
      </w:pPr>
      <w:r>
        <w:rPr>
          <w:bCs/>
          <w:b/>
        </w:rPr>
        <w:t xml:space="preserve">Renewable Energy Usage:</w:t>
      </w:r>
      <w:r>
        <w:t xml:space="preserve"> </w:t>
      </w:r>
      <w:r>
        <w:t xml:space="preserve">70% of the electricity used in production is from renewable sources (kiouhmoldk).</w:t>
      </w:r>
    </w:p>
    <w:p>
      <w:pPr>
        <w:numPr>
          <w:ilvl w:val="0"/>
          <w:numId w:val="1004"/>
        </w:numPr>
        <w:pStyle w:val="Compact"/>
      </w:pPr>
      <w:r>
        <w:rPr>
          <w:bCs/>
          <w:b/>
        </w:rPr>
        <w:t xml:space="preserve">Energy Intensity (kWh/unit):</w:t>
      </w:r>
      <w:r>
        <w:t xml:space="preserve"> </w:t>
      </w:r>
      <w:r>
        <w:t xml:space="preserve">5.0 kWh/unit of mluwzxpjqw (qwwqlgpfgl).</w:t>
      </w:r>
    </w:p>
    <w:p>
      <w:pPr>
        <w:numPr>
          <w:ilvl w:val="0"/>
          <w:numId w:val="1004"/>
        </w:numPr>
        <w:pStyle w:val="Compact"/>
      </w:pPr>
      <w:r>
        <w:rPr>
          <w:bCs/>
          <w:b/>
        </w:rPr>
        <w:t xml:space="preserve">Electricity Grid Emission Factor (China):</w:t>
      </w:r>
      <w:r>
        <w:t xml:space="preserve"> </w:t>
      </w:r>
      <w:r>
        <w:t xml:space="preserve">An average factor of 0.58 kgCO2e/kWh is used, representing the non-renewable portion of the Chinese grid mix.</w:t>
      </w:r>
    </w:p>
    <w:bookmarkEnd w:id="26"/>
    <w:bookmarkStart w:id="27" w:name="use-phase-downstream---scope-3"/>
    <w:p>
      <w:pPr>
        <w:pStyle w:val="Heading3"/>
      </w:pPr>
      <w:r>
        <w:t xml:space="preserve">2.4. Use Phase (Downstream - Scope 3)</w:t>
      </w:r>
    </w:p>
    <w:p>
      <w:pPr>
        <w:pStyle w:val="FirstParagraph"/>
      </w:pPr>
      <w:r>
        <w:t xml:space="preserve">The energy consumption during the product\'s lifespan contributes to its overall footprint. For a product with a Europe-focused supply chain context, the use-phase electricity mix is assumed to reflect average European grid electricity.</w:t>
      </w:r>
    </w:p>
    <w:p>
      <w:pPr>
        <w:numPr>
          <w:ilvl w:val="0"/>
          <w:numId w:val="1005"/>
        </w:numPr>
        <w:pStyle w:val="Compact"/>
      </w:pPr>
      <w:r>
        <w:rPr>
          <w:bCs/>
          <w:b/>
        </w:rPr>
        <w:t xml:space="preserve">Product Lifespan:</w:t>
      </w:r>
      <w:r>
        <w:t xml:space="preserve"> </w:t>
      </w:r>
      <w:r>
        <w:t xml:space="preserve">5 years (yzeveerivt).</w:t>
      </w:r>
    </w:p>
    <w:p>
      <w:pPr>
        <w:numPr>
          <w:ilvl w:val="0"/>
          <w:numId w:val="1005"/>
        </w:numPr>
        <w:pStyle w:val="Compact"/>
      </w:pPr>
      <w:r>
        <w:rPr>
          <w:bCs/>
          <w:b/>
        </w:rPr>
        <w:t xml:space="preserve">Energy Consumption in Use:</w:t>
      </w:r>
      <w:r>
        <w:t xml:space="preserve"> </w:t>
      </w:r>
      <w:r>
        <w:t xml:space="preserve">10 kWh/year (voysqfkpvd).</w:t>
      </w:r>
    </w:p>
    <w:p>
      <w:pPr>
        <w:numPr>
          <w:ilvl w:val="0"/>
          <w:numId w:val="1005"/>
        </w:numPr>
        <w:pStyle w:val="Compact"/>
      </w:pPr>
      <w:r>
        <w:rPr>
          <w:bCs/>
          <w:b/>
        </w:rPr>
        <w:t xml:space="preserve">Electricity Grid Emission Factor (Europe - illustrative):</w:t>
      </w:r>
      <w:r>
        <w:t xml:space="preserve"> </w:t>
      </w:r>
      <w:r>
        <w:t xml:space="preserve">0.25 kgCO2e/kWh (illustrative for average European grid mix).</w:t>
      </w:r>
    </w:p>
    <w:bookmarkEnd w:id="27"/>
    <w:bookmarkStart w:id="28" w:name="end-of-life-downstream---scope-3"/>
    <w:p>
      <w:pPr>
        <w:pStyle w:val="Heading3"/>
      </w:pPr>
      <w:r>
        <w:t xml:space="preserve">2.5. End-of-Life (Downstream - Scope 3)</w:t>
      </w:r>
    </w:p>
    <w:p>
      <w:pPr>
        <w:pStyle w:val="FirstParagraph"/>
      </w:pPr>
      <w:r>
        <w:t xml:space="preserve">The disposal and recycling scenarios for mluwzxpjqw are considered at its end-of-life.</w:t>
      </w:r>
    </w:p>
    <w:p>
      <w:pPr>
        <w:numPr>
          <w:ilvl w:val="0"/>
          <w:numId w:val="1006"/>
        </w:numPr>
        <w:pStyle w:val="Compact"/>
      </w:pPr>
      <w:r>
        <w:rPr>
          <w:bCs/>
          <w:b/>
        </w:rPr>
        <w:t xml:space="preserve">Recyclability Percentage:</w:t>
      </w:r>
      <w:r>
        <w:t xml:space="preserve"> </w:t>
      </w:r>
      <w:r>
        <w:t xml:space="preserve">80% (zdudrnnmpn).</w:t>
      </w:r>
    </w:p>
    <w:p>
      <w:pPr>
        <w:numPr>
          <w:ilvl w:val="0"/>
          <w:numId w:val="1006"/>
        </w:numPr>
        <w:pStyle w:val="Compact"/>
      </w:pPr>
      <w:r>
        <w:rPr>
          <w:bCs/>
          <w:b/>
        </w:rPr>
        <w:t xml:space="preserve">Circular/Take-back Programs:</w:t>
      </w:r>
      <w:r>
        <w:t xml:space="preserve"> </w:t>
      </w:r>
      <w:r>
        <w:t xml:space="preserve">Yes, an established regional program (ugxgnpfdrh).</w:t>
      </w:r>
    </w:p>
    <w:p>
      <w:pPr>
        <w:numPr>
          <w:ilvl w:val="0"/>
          <w:numId w:val="1006"/>
        </w:numPr>
        <w:pStyle w:val="Compact"/>
      </w:pPr>
      <w:r>
        <w:rPr>
          <w:bCs/>
          <w:b/>
        </w:rPr>
        <w:t xml:space="preserve">Assumed Disposal Emissions:</w:t>
      </w:r>
      <w:r>
        <w:t xml:space="preserve"> </w:t>
      </w:r>
      <w:r>
        <w:t xml:space="preserve">For the non-recycled portion (20%), a generic waste-to-landfill emission factor of 1.0 kgCO2e/kg for the total product mass is used. Recycling credits, if applicable, would be allocated to the subsequent product system under a "cradle-to-grave with recycling credits" approach, but for this factory_gate boundary and comprehensive Scope 3, only disposal burden is allocated to this product system.</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using the formula: Activity Data × Emission Factor = CO2e. All calculations are in kilograms of Carbon Dioxide Equivalent (kgCO2e) to account for all relevant greenhouse gases (CO2, CH4, N2O, etc.).</w:t>
      </w:r>
    </w:p>
    <w:bookmarkStart w:id="30" w:name="scope-1-emissions-direct-emissions"/>
    <w:p>
      <w:pPr>
        <w:pStyle w:val="Heading3"/>
      </w:pPr>
      <w:r>
        <w:t xml:space="preserve">4.1. Scope 1 Emissions (Direct Emissions)</w:t>
      </w:r>
    </w:p>
    <w:p>
      <w:pPr>
        <w:pStyle w:val="FirstParagraph"/>
      </w:pPr>
      <w:r>
        <w:t xml:space="preserve">For mluwzxpjqw\'s PCF with a factory_gate system boundary, direct emissions from sources owned or controlled by jdvxppyipr that are specifically attributable to the product\'s manufacturing are considered. Given that the energy intensity is primarily linked to purchased electricity, direct on-site fuel combustion for manufacturing the product itself is assumed to be minimal or zero for this analysis.</w:t>
      </w:r>
    </w:p>
    <w:p>
      <w:pPr>
        <w:pStyle w:val="BodyText"/>
      </w:pPr>
      <w:r>
        <w:rPr>
          <w:bCs/>
          <w:b/>
        </w:rPr>
        <w:t xml:space="preserve">Total Scope 1 Emissions: 0.00 kgCO2e per functional unit.</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for the production process.</w:t>
      </w:r>
    </w:p>
    <w:p>
      <w:pPr>
        <w:numPr>
          <w:ilvl w:val="0"/>
          <w:numId w:val="1007"/>
        </w:numPr>
        <w:pStyle w:val="Compact"/>
      </w:pPr>
      <w:r>
        <w:t xml:space="preserve">Non-renewable energy consumption = Energy Intensity × (1 - Renewable Energy Usage)</w:t>
      </w:r>
    </w:p>
    <w:p>
      <w:pPr>
        <w:numPr>
          <w:ilvl w:val="0"/>
          <w:numId w:val="1007"/>
        </w:numPr>
        <w:pStyle w:val="Compact"/>
      </w:pPr>
      <w:r>
        <w:t xml:space="preserve">Non-renewable energy consumption = 5.0 kWh/unit × (1 - 0.70) = 1.5 kWh/unit</w:t>
      </w:r>
    </w:p>
    <w:p>
      <w:pPr>
        <w:numPr>
          <w:ilvl w:val="0"/>
          <w:numId w:val="1007"/>
        </w:numPr>
        <w:pStyle w:val="Compact"/>
      </w:pPr>
      <w:r>
        <w:t xml:space="preserve">Scope 2 Emissions = Non-renewable energy consumption × China Grid Emission Factor</w:t>
      </w:r>
    </w:p>
    <w:p>
      <w:pPr>
        <w:numPr>
          <w:ilvl w:val="0"/>
          <w:numId w:val="1007"/>
        </w:numPr>
        <w:pStyle w:val="Compact"/>
      </w:pPr>
      <w:r>
        <w:t xml:space="preserve">Scope 2 Emissions = 1.5 kWh/unit × 0.58 kgCO2e/kWh = 0.87 kgCO2e per functional unit.</w:t>
      </w:r>
    </w:p>
    <w:p>
      <w:pPr>
        <w:pStyle w:val="FirstParagraph"/>
      </w:pPr>
      <w:r>
        <w:rPr>
          <w:bCs/>
          <w:b/>
        </w:rPr>
        <w:t xml:space="preserve">Total Scope 2 Emissions: 0.87 kgCO2e per functional 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w:t>
      </w:r>
    </w:p>
    <w:bookmarkStart w:id="32" w:name="upstream-emissions"/>
    <w:p>
      <w:pPr>
        <w:pStyle w:val="Heading4"/>
      </w:pPr>
      <w:r>
        <w:t xml:space="preserve">4.3.1. Upstream Emissions</w:t>
      </w:r>
    </w:p>
    <w:p>
      <w:pPr>
        <w:numPr>
          <w:ilvl w:val="0"/>
          <w:numId w:val="1008"/>
        </w:numPr>
        <w:pStyle w:val="Compact"/>
      </w:pPr>
      <w:r>
        <w:rPr>
          <w:bCs/>
          <w:b/>
        </w:rPr>
        <w:t xml:space="preserve">Materials Acquisition &amp; Pre-processing:</w:t>
      </w:r>
      <w:r>
        <w:t xml:space="preserve"> </w:t>
      </w:r>
      <w:r>
        <w:t xml:space="preserve">20.97 kgCO2e (from BOM table).</w:t>
      </w:r>
    </w:p>
    <w:p>
      <w:pPr>
        <w:numPr>
          <w:ilvl w:val="0"/>
          <w:numId w:val="1008"/>
        </w:numPr>
        <w:pStyle w:val="Compact"/>
      </w:pPr>
      <w:r>
        <w:rPr>
          <w:bCs/>
          <w:b/>
        </w:rPr>
        <w:t xml:space="preserve">Upstream Transportation:</w:t>
      </w:r>
    </w:p>
    <w:p>
      <w:pPr>
        <w:numPr>
          <w:ilvl w:val="1"/>
          <w:numId w:val="1009"/>
        </w:numPr>
        <w:pStyle w:val="Compact"/>
      </w:pPr>
      <w:r>
        <w:t xml:space="preserve">Ocean Freight Emissions = Product Weight (tonnes) × Distance (km) × Emission Factor (kgCO2e/tonne-km)</w:t>
      </w:r>
    </w:p>
    <w:p>
      <w:pPr>
        <w:numPr>
          <w:ilvl w:val="1"/>
          <w:numId w:val="1009"/>
        </w:numPr>
        <w:pStyle w:val="Compact"/>
      </w:pPr>
      <w:r>
        <w:t xml:space="preserve">Ocean Freight Emissions = 0.00295 tonnes/unit × 15,000 km × 0.016 kgCO2e/tonne-km = 0.708 kgCO2e/unit.</w:t>
      </w:r>
    </w:p>
    <w:p>
      <w:pPr>
        <w:numPr>
          <w:ilvl w:val="1"/>
          <w:numId w:val="1009"/>
        </w:numPr>
        <w:pStyle w:val="Compact"/>
      </w:pPr>
      <w:r>
        <w:t xml:space="preserve">Initial Road Freight Emissions (to port, illustrative) = Product Weight (tonnes) × Distance (km) × Emission Factor (kgCO2e/tonne-km)</w:t>
      </w:r>
    </w:p>
    <w:p>
      <w:pPr>
        <w:numPr>
          <w:ilvl w:val="1"/>
          <w:numId w:val="1009"/>
        </w:numPr>
        <w:pStyle w:val="Compact"/>
      </w:pPr>
      <w:r>
        <w:t xml:space="preserve">Initial Road Freight Emissions = 0.00295 tonnes/unit × 100 km (illustrative) × 0.05 kgCO2e/tonne-km = 0.01475 kgCO2e/unit.</w:t>
      </w:r>
    </w:p>
    <w:p>
      <w:pPr>
        <w:numPr>
          <w:ilvl w:val="1"/>
          <w:numId w:val="1009"/>
        </w:numPr>
        <w:pStyle w:val="Compact"/>
      </w:pPr>
      <w:r>
        <w:rPr>
          <w:bCs/>
          <w:b/>
        </w:rPr>
        <w:t xml:space="preserve">Total Upstream Transport:</w:t>
      </w:r>
      <w:r>
        <w:t xml:space="preserve"> </w:t>
      </w:r>
      <w:r>
        <w:t xml:space="preserve">0.708 + 0.01475 = 0.72 kgCO2e/unit.</w:t>
      </w:r>
    </w:p>
    <w:p>
      <w:pPr>
        <w:numPr>
          <w:ilvl w:val="0"/>
          <w:numId w:val="1008"/>
        </w:numPr>
        <w:pStyle w:val="Compact"/>
      </w:pPr>
      <w:r>
        <w:rPr>
          <w:bCs/>
          <w:b/>
        </w:rPr>
        <w:t xml:space="preserve">Total Upstream Scope 3 Emissions:</w:t>
      </w:r>
      <w:r>
        <w:t xml:space="preserve"> </w:t>
      </w:r>
      <w:r>
        <w:t xml:space="preserve">20.97 kgCO2e (materials) + 0.72 kgCO2e (transport) = 21.69 kgCO2e per functional unit.</w:t>
      </w:r>
    </w:p>
    <w:bookmarkEnd w:id="32"/>
    <w:bookmarkStart w:id="33" w:name="downstream-emissions"/>
    <w:p>
      <w:pPr>
        <w:pStyle w:val="Heading4"/>
      </w:pPr>
      <w:r>
        <w:t xml:space="preserve">4.3.2. Downstream Emissions</w:t>
      </w:r>
    </w:p>
    <w:p>
      <w:pPr>
        <w:numPr>
          <w:ilvl w:val="0"/>
          <w:numId w:val="1010"/>
        </w:numPr>
        <w:pStyle w:val="Compact"/>
      </w:pPr>
      <w:r>
        <w:rPr>
          <w:bCs/>
          <w:b/>
        </w:rPr>
        <w:t xml:space="preserve">Last-Mile Delivery:</w:t>
      </w:r>
    </w:p>
    <w:p>
      <w:pPr>
        <w:numPr>
          <w:ilvl w:val="1"/>
          <w:numId w:val="1011"/>
        </w:numPr>
        <w:pStyle w:val="Compact"/>
      </w:pPr>
      <w:r>
        <w:t xml:space="preserve">Last-Mile Delivery Emissions = Product Weight (tonnes) × Distance (km) × Emission Factor (kgCO2e/tonne-km)</w:t>
      </w:r>
    </w:p>
    <w:p>
      <w:pPr>
        <w:numPr>
          <w:ilvl w:val="1"/>
          <w:numId w:val="1011"/>
        </w:numPr>
        <w:pStyle w:val="Compact"/>
      </w:pPr>
      <w:r>
        <w:t xml:space="preserve">Last-Mile Delivery Emissions = 0.00295 tonnes/unit × 500 km × 0.05 kgCO2e/tonne-km = 0.07375 kgCO2e/unit.</w:t>
      </w:r>
    </w:p>
    <w:p>
      <w:pPr>
        <w:numPr>
          <w:ilvl w:val="0"/>
          <w:numId w:val="1010"/>
        </w:numPr>
        <w:pStyle w:val="Compact"/>
      </w:pPr>
      <w:r>
        <w:rPr>
          <w:bCs/>
          <w:b/>
        </w:rPr>
        <w:t xml:space="preserve">Use Phase:</w:t>
      </w:r>
    </w:p>
    <w:p>
      <w:pPr>
        <w:numPr>
          <w:ilvl w:val="1"/>
          <w:numId w:val="1012"/>
        </w:numPr>
        <w:pStyle w:val="Compact"/>
      </w:pPr>
      <w:r>
        <w:t xml:space="preserve">Use Phase Emissions = Energy Consumption in Use (kWh/year) × Product Lifespan (years) × Europe Grid Emission Factor (kgCO2e/kWh)</w:t>
      </w:r>
    </w:p>
    <w:p>
      <w:pPr>
        <w:numPr>
          <w:ilvl w:val="1"/>
          <w:numId w:val="1012"/>
        </w:numPr>
        <w:pStyle w:val="Compact"/>
      </w:pPr>
      <w:r>
        <w:t xml:space="preserve">Use Phase Emissions = 10 kWh/year × 5 years × 0.25 kgCO2e/kWh = 12.50 kgCO2e/unit.</w:t>
      </w:r>
    </w:p>
    <w:p>
      <w:pPr>
        <w:numPr>
          <w:ilvl w:val="0"/>
          <w:numId w:val="1010"/>
        </w:numPr>
        <w:pStyle w:val="Compact"/>
      </w:pPr>
      <w:r>
        <w:rPr>
          <w:bCs/>
          <w:b/>
        </w:rPr>
        <w:t xml:space="preserve">End-of-Life:</w:t>
      </w:r>
    </w:p>
    <w:p>
      <w:pPr>
        <w:numPr>
          <w:ilvl w:val="1"/>
          <w:numId w:val="1013"/>
        </w:numPr>
        <w:pStyle w:val="Compact"/>
      </w:pPr>
      <w:r>
        <w:t xml:space="preserve">Non-recycled mass = Total Product Mass × (1 - Recyclability Percentage)</w:t>
      </w:r>
    </w:p>
    <w:p>
      <w:pPr>
        <w:numPr>
          <w:ilvl w:val="1"/>
          <w:numId w:val="1013"/>
        </w:numPr>
        <w:pStyle w:val="Compact"/>
      </w:pPr>
      <w:r>
        <w:t xml:space="preserve">Non-recycled mass = 2.95 kg/unit × (1 - 0.80) = 0.59 kg/unit.</w:t>
      </w:r>
    </w:p>
    <w:p>
      <w:pPr>
        <w:numPr>
          <w:ilvl w:val="1"/>
          <w:numId w:val="1013"/>
        </w:numPr>
        <w:pStyle w:val="Compact"/>
      </w:pPr>
      <w:r>
        <w:t xml:space="preserve">End-of-Life Emissions = Non-recycled mass × Generic Disposal Emission Factor</w:t>
      </w:r>
    </w:p>
    <w:p>
      <w:pPr>
        <w:numPr>
          <w:ilvl w:val="1"/>
          <w:numId w:val="1013"/>
        </w:numPr>
        <w:pStyle w:val="Compact"/>
      </w:pPr>
      <w:r>
        <w:t xml:space="preserve">End-of-Life Emissions = 0.59 kg/unit × 1.0 kgCO2e/kg = 0.59 kgCO2e/unit.</w:t>
      </w:r>
    </w:p>
    <w:p>
      <w:pPr>
        <w:numPr>
          <w:ilvl w:val="0"/>
          <w:numId w:val="1010"/>
        </w:numPr>
        <w:pStyle w:val="Compact"/>
      </w:pPr>
      <w:r>
        <w:rPr>
          <w:bCs/>
          <w:b/>
        </w:rPr>
        <w:t xml:space="preserve">Total Downstream Scope 3 Emissions:</w:t>
      </w:r>
      <w:r>
        <w:t xml:space="preserve"> </w:t>
      </w:r>
      <w:r>
        <w:t xml:space="preserve">0.07375 kgCO2e (delivery) + 12.50 kgCO2e (use phase) + 0.59 kgCO2e (EoL) = 13.16 kgCO2e per functional unit.</w:t>
      </w:r>
    </w:p>
    <w:p>
      <w:pPr>
        <w:pStyle w:val="FirstParagraph"/>
      </w:pPr>
      <w:r>
        <w:rPr>
          <w:bCs/>
          <w:b/>
        </w:rPr>
        <w:t xml:space="preserve">Total Scope 3 Emissions:</w:t>
      </w:r>
      <w:r>
        <w:t xml:space="preserve"> </w:t>
      </w:r>
      <w:r>
        <w:t xml:space="preserve">21.69 kgCO2e (upstream) + 13.16 kgCO2e (downstream) = 34.85 kgCO2e per functional unit.</w:t>
      </w:r>
    </w:p>
    <w:bookmarkEnd w:id="33"/>
    <w:bookmarkEnd w:id="34"/>
    <w:bookmarkStart w:id="35" w:name="application-of-2026-ghg-protocol-updates"/>
    <w:p>
      <w:pPr>
        <w:pStyle w:val="Heading3"/>
      </w:pPr>
      <w:r>
        <w:t xml:space="preserve">4.4. Application of 2026 GHG Protocol Updates</w:t>
      </w:r>
    </w:p>
    <w:p>
      <w:pPr>
        <w:numPr>
          <w:ilvl w:val="0"/>
          <w:numId w:val="1014"/>
        </w:numPr>
        <w:pStyle w:val="Compact"/>
      </w:pPr>
      <w:r>
        <w:rPr>
          <w:bCs/>
          <w:b/>
        </w:rPr>
        <w:t xml:space="preserve">Land Sector and Removals (LSR) Standard:</w:t>
      </w:r>
      <w:r>
        <w:t xml:space="preserve"> </w:t>
      </w:r>
      <w:r>
        <w:t xml:space="preserve">The GHG Protocol\'s new Land Sector and Removals Standard, effective January 1, 2027, provides crucial guidance for accounting for land use and carbon removals. While direct land-use change or biogenic carbon removals are not primary drivers for the product mluwzxpjqw itself, the principles of transparently quantifying and reporting such impacts throughout the value chain have been considered in the broader context of upstream material sourcing (e.g., paper products, if linked to specific forestry practices). The accompanying guidance for the LSR Standard is expected in Q2 2026, and jdvxppyipr will integrate these details as they become available.</w:t>
      </w:r>
    </w:p>
    <w:p>
      <w:pPr>
        <w:numPr>
          <w:ilvl w:val="0"/>
          <w:numId w:val="1014"/>
        </w:numPr>
        <w:pStyle w:val="Compact"/>
      </w:pPr>
      <w:r>
        <w:rPr>
          <w:bCs/>
          <w:b/>
        </w:rPr>
        <w:t xml:space="preserve">Scope 3 Compliance (95% Coverage):</w:t>
      </w:r>
      <w:r>
        <w:t xml:space="preserve"> </w:t>
      </w:r>
      <w:r>
        <w:t xml:space="preserve">As per the proposed 2026 requirements, this PCF analysis for mluwzxpjqw ensures at least 95% coverage for all relevant Scope 3 emissions. All material inputs, transportation stages, and significant downstream impacts have been quantified or estimated using industry-standard factors, with no material exclusions. The methodology has been designed to capture the vast majority of value chain emissions, aligning with the enhanced completeness and transparency expected.</w:t>
      </w:r>
    </w:p>
    <w:bookmarkEnd w:id="35"/>
    <w:bookmarkStart w:id="36" w:name="summary-of-product-carbon-footprint"/>
    <w:p>
      <w:pPr>
        <w:pStyle w:val="Heading3"/>
      </w:pPr>
      <w:r>
        <w:t xml:space="preserve">4.5. Summary of Product Carbon Footprint</w:t>
      </w:r>
    </w:p>
    <w:p>
      <w:pPr>
        <w:pStyle w:val="FirstParagraph"/>
      </w:pPr>
      <w:r>
        <w:t xml:space="preserve">The total Product Carbon Footprint for one functional unit of mluwzxpjqw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GHG Emissions (kgCO2e/unit)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0.87</w:t>
            </w:r>
          </w:p>
        </w:tc>
      </w:tr>
      <w:tr>
        <w:tc>
          <w:tcPr>
            <w:gridSpan w:val="2"/>
          </w:tcPr>
          <w:p>
            <w:pPr>
              <w:pStyle w:val="Compact"/>
              <w:jc w:val="left"/>
            </w:pPr>
            <w:r>
              <w:rPr>
                <w:bCs/>
                <w:b/>
              </w:rPr>
              <w:t xml:space="preserve">Subtotal Operational Emissions (Scope 1 &amp; 2)</w:t>
            </w:r>
          </w:p>
        </w:tc>
        <w:tc>
          <w:tcPr/>
          <w:p>
            <w:pPr>
              <w:pStyle w:val="Compact"/>
              <w:jc w:val="left"/>
            </w:pPr>
            <w:r>
              <w:rPr>
                <w:bCs/>
                <w:b/>
              </w:rPr>
              <w:t xml:space="preserve">0.87</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20.97</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0.72 (Upstream) + 0.07 (Downstream) = 0.79</w:t>
            </w:r>
          </w:p>
        </w:tc>
      </w:tr>
      <w:tr>
        <w:tc>
          <w:tcPr>
            <w:gridSpan w:val="1"/>
            <w:vMerge w:val="continue"/>
          </w:tcPr>
          <w:p>
            <w:pPr/>
          </w:p>
        </w:tc>
        <w:tc>
          <w:tcPr/>
          <w:p>
            <w:pPr>
              <w:pStyle w:val="Compact"/>
              <w:jc w:val="left"/>
            </w:pPr>
            <w:r>
              <w:t xml:space="preserve">Use Phase</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w:t>
            </w:r>
          </w:p>
        </w:tc>
        <w:tc>
          <w:tcPr/>
          <w:p>
            <w:pPr>
              <w:pStyle w:val="Compact"/>
              <w:jc w:val="left"/>
            </w:pPr>
            <w:r>
              <w:t xml:space="preserve">0.59</w:t>
            </w:r>
          </w:p>
        </w:tc>
      </w:tr>
      <w:tr>
        <w:tc>
          <w:tcPr>
            <w:gridSpan w:val="2"/>
          </w:tcPr>
          <w:p>
            <w:pPr>
              <w:pStyle w:val="Compact"/>
              <w:jc w:val="left"/>
            </w:pPr>
            <w:r>
              <w:rPr>
                <w:bCs/>
                <w:b/>
              </w:rPr>
              <w:t xml:space="preserve">Subtotal Value Chain Emissions (Scope 3)</w:t>
            </w:r>
          </w:p>
        </w:tc>
        <w:tc>
          <w:tcPr/>
          <w:p>
            <w:pPr>
              <w:pStyle w:val="Compact"/>
              <w:jc w:val="left"/>
            </w:pPr>
            <w:r>
              <w:rPr>
                <w:bCs/>
                <w:b/>
              </w:rPr>
              <w:t xml:space="preserve">34.85</w:t>
            </w:r>
          </w:p>
        </w:tc>
      </w:tr>
      <w:tr>
        <w:tc>
          <w:tcPr>
            <w:gridSpan w:val="2"/>
          </w:tcPr>
          <w:p>
            <w:pPr>
              <w:pStyle w:val="Compact"/>
              <w:jc w:val="right"/>
            </w:pPr>
            <w:r>
              <w:rPr>
                <w:bCs/>
                <w:b/>
              </w:rPr>
              <w:t xml:space="preserve">Total Product Carbon Footprint (mluwzxpjqw)</w:t>
            </w:r>
          </w:p>
        </w:tc>
        <w:tc>
          <w:tcPr/>
          <w:p>
            <w:pPr>
              <w:pStyle w:val="Compact"/>
              <w:jc w:val="left"/>
            </w:pPr>
            <w:r>
              <w:rPr>
                <w:bCs/>
                <w:b/>
              </w:rPr>
              <w:t xml:space="preserve">35.72 kgCO2e/unit</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Based on the calculations, the primary emission hotspots for mluwzxpjqw are:</w:t>
      </w:r>
    </w:p>
    <w:p>
      <w:pPr>
        <w:numPr>
          <w:ilvl w:val="0"/>
          <w:numId w:val="1015"/>
        </w:numPr>
        <w:pStyle w:val="Compact"/>
      </w:pPr>
      <w:r>
        <w:rPr>
          <w:bCs/>
          <w:b/>
        </w:rPr>
        <w:t xml:space="preserve">Materials Acquisition &amp; Pre-processing (Scope 3 - Upstream):</w:t>
      </w:r>
      <w:r>
        <w:t xml:space="preserve"> </w:t>
      </w:r>
      <w:r>
        <w:t xml:space="preserve">This stage accounts for approximately 58.7% of the total footprint, with the Lithium-ion battery being a dominant contributor due to its high emission factor.</w:t>
      </w:r>
    </w:p>
    <w:p>
      <w:pPr>
        <w:numPr>
          <w:ilvl w:val="0"/>
          <w:numId w:val="1015"/>
        </w:numPr>
        <w:pStyle w:val="Compact"/>
      </w:pPr>
      <w:r>
        <w:rPr>
          <w:bCs/>
          <w:b/>
        </w:rPr>
        <w:t xml:space="preserve">Use Phase (Scope 3 - Downstream):</w:t>
      </w:r>
      <w:r>
        <w:t xml:space="preserve"> </w:t>
      </w:r>
      <w:r>
        <w:t xml:space="preserve">The energy consumed during the product\'s 5-year lifespan contributes significantly, representing about 35.0% of the total. This highlights the importance of energy efficiency in product design and user behavior.</w:t>
      </w:r>
    </w:p>
    <w:p>
      <w:pPr>
        <w:numPr>
          <w:ilvl w:val="0"/>
          <w:numId w:val="1015"/>
        </w:numPr>
        <w:pStyle w:val="Compact"/>
      </w:pPr>
      <w:r>
        <w:rPr>
          <w:bCs/>
          <w:b/>
        </w:rPr>
        <w:t xml:space="preserve">Purchased Electricity for Production (Scope 2):</w:t>
      </w:r>
      <w:r>
        <w:t xml:space="preserve"> </w:t>
      </w:r>
      <w:r>
        <w:t xml:space="preserve">Although the company has a 70% renewable energy usage, the remaining grid electricity in China still contributes a notable portion (2.4%) of the operational footprint.</w:t>
      </w:r>
    </w:p>
    <w:bookmarkEnd w:id="38"/>
    <w:bookmarkStart w:id="39" w:name="reliability-assessment"/>
    <w:p>
      <w:pPr>
        <w:pStyle w:val="Heading3"/>
      </w:pPr>
      <w:r>
        <w:t xml:space="preserve">5.2. Reliability Assessment</w:t>
      </w:r>
    </w:p>
    <w:p>
      <w:pPr>
        <w:pStyle w:val="FirstParagraph"/>
      </w:pPr>
      <w:r>
        <w:t xml:space="preserve">The reliability of this report is considered moderate to high. Key factors influencing reliability include:</w:t>
      </w:r>
    </w:p>
    <w:p>
      <w:pPr>
        <w:numPr>
          <w:ilvl w:val="0"/>
          <w:numId w:val="1016"/>
        </w:numPr>
        <w:pStyle w:val="Compact"/>
      </w:pPr>
      <w:r>
        <w:rPr>
          <w:bCs/>
          <w:b/>
        </w:rPr>
        <w:t xml:space="preserve">Primary Data:</w:t>
      </w:r>
      <w:r>
        <w:t xml:space="preserve"> </w:t>
      </w:r>
      <w:r>
        <w:t xml:space="preserve">The Detailed Bill of Materials (BOM) provides specific material quantities, which enhances accuracy for the material-related emissions.</w:t>
      </w:r>
    </w:p>
    <w:p>
      <w:pPr>
        <w:numPr>
          <w:ilvl w:val="0"/>
          <w:numId w:val="1016"/>
        </w:numPr>
        <w:pStyle w:val="Compact"/>
      </w:pPr>
      <w:r>
        <w:rPr>
          <w:bCs/>
          <w:b/>
        </w:rPr>
        <w:t xml:space="preserve">Secondary Data:</w:t>
      </w:r>
      <w:r>
        <w:t xml:space="preserve"> </w:t>
      </w:r>
      <w:r>
        <w:t xml:space="preserve">Reliance on industry-average emission factors from reputable databases (Ecoinvent, DEFRA) introduces some uncertainty, as specific supplier data would provide higher accuracy.</w:t>
      </w:r>
    </w:p>
    <w:p>
      <w:pPr>
        <w:numPr>
          <w:ilvl w:val="0"/>
          <w:numId w:val="1016"/>
        </w:numPr>
        <w:pStyle w:val="Compact"/>
      </w:pPr>
      <w:r>
        <w:rPr>
          <w:bCs/>
          <w:b/>
        </w:rPr>
        <w:t xml:space="preserve">Assumptions:</w:t>
      </w:r>
      <w:r>
        <w:t xml:space="preserve"> </w:t>
      </w:r>
      <w:r>
        <w:t xml:space="preserve">Assumptions regarding transport distances, last-mile delivery specifics, and illustrative European electricity mixes for the use phase impact the precision of those lifecycle stages.</w:t>
      </w:r>
    </w:p>
    <w:p>
      <w:pPr>
        <w:numPr>
          <w:ilvl w:val="0"/>
          <w:numId w:val="1016"/>
        </w:numPr>
        <w:pStyle w:val="Compact"/>
      </w:pPr>
      <w:r>
        <w:rPr>
          <w:bCs/>
          <w:b/>
        </w:rPr>
        <w:t xml:space="preserve">GHG Protocol Adherence:</w:t>
      </w:r>
      <w:r>
        <w:t xml:space="preserve"> </w:t>
      </w:r>
      <w:r>
        <w:t xml:space="preserve">Strict adherence to GHG Protocol standards and the integration of upcoming 2026 updates ensures a methodologically sound framework.</w:t>
      </w:r>
    </w:p>
    <w:bookmarkEnd w:id="39"/>
    <w:bookmarkStart w:id="40" w:name="recommendations-for-emission-reduction"/>
    <w:p>
      <w:pPr>
        <w:pStyle w:val="Heading3"/>
      </w:pPr>
      <w:r>
        <w:t xml:space="preserve">5.3. Recommendations for Emission Reduction</w:t>
      </w:r>
    </w:p>
    <w:p>
      <w:pPr>
        <w:pStyle w:val="FirstParagraph"/>
      </w:pPr>
      <w:r>
        <w:t xml:space="preserve">To reduce the Product Carbon Footprint of mluwzxpjqw, jdvxppyipr should consider the following actions:</w:t>
      </w:r>
    </w:p>
    <w:p>
      <w:pPr>
        <w:numPr>
          <w:ilvl w:val="0"/>
          <w:numId w:val="1017"/>
        </w:numPr>
        <w:pStyle w:val="Compact"/>
      </w:pPr>
      <w:r>
        <w:rPr>
          <w:bCs/>
          <w:b/>
        </w:rPr>
        <w:t xml:space="preserve">Material Optimization:</w:t>
      </w:r>
    </w:p>
    <w:p>
      <w:pPr>
        <w:numPr>
          <w:ilvl w:val="1"/>
          <w:numId w:val="1018"/>
        </w:numPr>
        <w:pStyle w:val="Compact"/>
      </w:pPr>
      <w:r>
        <w:t xml:space="preserve">Investigate alternative, lower-carbon materials for the Lithium-ion battery and other high-impact components.</w:t>
      </w:r>
    </w:p>
    <w:p>
      <w:pPr>
        <w:numPr>
          <w:ilvl w:val="1"/>
          <w:numId w:val="1018"/>
        </w:numPr>
        <w:pStyle w:val="Compact"/>
      </w:pPr>
      <w:r>
        <w:t xml:space="preserve">Engage with suppliers to obtain primary emission data and identify opportunities for low-carbon material production.</w:t>
      </w:r>
    </w:p>
    <w:p>
      <w:pPr>
        <w:numPr>
          <w:ilvl w:val="1"/>
          <w:numId w:val="1018"/>
        </w:numPr>
        <w:pStyle w:val="Compact"/>
      </w:pPr>
      <w:r>
        <w:t xml:space="preserve">Explore design changes that reduce material usage or allow for easier disassembly and repair.</w:t>
      </w:r>
    </w:p>
    <w:p>
      <w:pPr>
        <w:numPr>
          <w:ilvl w:val="0"/>
          <w:numId w:val="1017"/>
        </w:numPr>
        <w:pStyle w:val="Compact"/>
      </w:pPr>
      <w:r>
        <w:rPr>
          <w:bCs/>
          <w:b/>
        </w:rPr>
        <w:t xml:space="preserve">Energy Efficiency in Use Phase:</w:t>
      </w:r>
    </w:p>
    <w:p>
      <w:pPr>
        <w:numPr>
          <w:ilvl w:val="1"/>
          <w:numId w:val="1019"/>
        </w:numPr>
        <w:pStyle w:val="Compact"/>
      </w:pPr>
      <w:r>
        <w:t xml:space="preserve">Improve the energy efficiency of mluwzxpjqw during its operational life to reduce downstream electricity consumption.</w:t>
      </w:r>
    </w:p>
    <w:p>
      <w:pPr>
        <w:numPr>
          <w:ilvl w:val="1"/>
          <w:numId w:val="1019"/>
        </w:numPr>
        <w:pStyle w:val="Compact"/>
      </w:pPr>
      <w:r>
        <w:t xml:space="preserve">Provide users with information on sustainable energy sources or energy-saving tips to minimize use-phase impacts.</w:t>
      </w:r>
    </w:p>
    <w:p>
      <w:pPr>
        <w:numPr>
          <w:ilvl w:val="0"/>
          <w:numId w:val="1017"/>
        </w:numPr>
        <w:pStyle w:val="Compact"/>
      </w:pPr>
      <w:r>
        <w:rPr>
          <w:bCs/>
          <w:b/>
        </w:rPr>
        <w:t xml:space="preserve">Renewable Energy Expansion:</w:t>
      </w:r>
    </w:p>
    <w:p>
      <w:pPr>
        <w:numPr>
          <w:ilvl w:val="1"/>
          <w:numId w:val="1020"/>
        </w:numPr>
        <w:pStyle w:val="Compact"/>
      </w:pPr>
      <w:r>
        <w:t xml:space="preserve">Increase the percentage of renewable energy used in the production facility in China (beyond the current 70%) to further reduce Scope 2 emissions.</w:t>
      </w:r>
    </w:p>
    <w:p>
      <w:pPr>
        <w:numPr>
          <w:ilvl w:val="1"/>
          <w:numId w:val="1020"/>
        </w:numPr>
        <w:pStyle w:val="Compact"/>
      </w:pPr>
      <w:r>
        <w:t xml:space="preserve">Explore procurement of renewable energy credits (RECs) or direct power purchase agreements (PPAs) for non-renewable electricity consumption.</w:t>
      </w:r>
    </w:p>
    <w:p>
      <w:pPr>
        <w:numPr>
          <w:ilvl w:val="0"/>
          <w:numId w:val="1017"/>
        </w:numPr>
        <w:pStyle w:val="Compact"/>
      </w:pPr>
      <w:r>
        <w:rPr>
          <w:bCs/>
          <w:b/>
        </w:rPr>
        <w:t xml:space="preserve">Circular Economy Strategies:</w:t>
      </w:r>
    </w:p>
    <w:p>
      <w:pPr>
        <w:numPr>
          <w:ilvl w:val="1"/>
          <w:numId w:val="1021"/>
        </w:numPr>
        <w:pStyle w:val="Compact"/>
      </w:pPr>
      <w:r>
        <w:t xml:space="preserve">Further enhance the established circular/take-back programs to maximize product lifespan through repair, refurbishment, or high-value recycling.</w:t>
      </w:r>
    </w:p>
    <w:p>
      <w:pPr>
        <w:numPr>
          <w:ilvl w:val="1"/>
          <w:numId w:val="1021"/>
        </w:numPr>
        <w:pStyle w:val="Compact"/>
      </w:pPr>
      <w:r>
        <w:t xml:space="preserve">Develop design-for-recyclability guidelines to ensure that the 80% recyclability is achieved effectively and efficiently.</w:t>
      </w:r>
    </w:p>
    <w:p>
      <w:pPr>
        <w:numPr>
          <w:ilvl w:val="0"/>
          <w:numId w:val="1017"/>
        </w:numPr>
        <w:pStyle w:val="Compact"/>
      </w:pPr>
      <w:r>
        <w:rPr>
          <w:bCs/>
          <w:b/>
        </w:rPr>
        <w:t xml:space="preserve">Supply Chain Engagement:</w:t>
      </w:r>
    </w:p>
    <w:p>
      <w:pPr>
        <w:numPr>
          <w:ilvl w:val="1"/>
          <w:numId w:val="1022"/>
        </w:numPr>
        <w:pStyle w:val="Compact"/>
      </w:pPr>
      <w:r>
        <w:t xml:space="preserve">Work closely with upstream suppliers to identify and reduce their Scope 1 and 2 emissions, which directly impact jdvxppyipr\'s Scope 3 emissions.</w:t>
      </w:r>
    </w:p>
    <w:p>
      <w:pPr>
        <w:numPr>
          <w:ilvl w:val="1"/>
          <w:numId w:val="1022"/>
        </w:numPr>
        <w:pStyle w:val="Compact"/>
      </w:pPr>
      <w:r>
        <w:t xml:space="preserve">Optimize logistics routes and modes to reduce transportation emissions, potentially exploring more efficient freight options or localized sourcing where feasible.</w:t>
      </w:r>
    </w:p>
    <w:p>
      <w:r>
        <w:pict>
          <v:rect style="width:0;height:1.5pt" o:hralign="center" o:hrstd="t" o:hr="t"/>
        </w:pict>
      </w:r>
    </w:p>
    <w:p>
      <w:pPr>
        <w:pStyle w:val="FirstParagraph"/>
      </w:pPr>
      <w:r>
        <w:t xml:space="preserve">Confidential - Internal Use Only | Page X of Y</w:t>
      </w:r>
    </w:p>
    <w:p>
      <w:pPr>
        <w:pStyle w:val="BodyText"/>
      </w:pPr>
      <w:r>
        <w:t xml:space="preserve">© 2026 jdvxppyipr. All rights reserved.</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mluwzxpjqw</dc:title>
  <dc:creator/>
  <dc:description>High-detail Product Carbon Footprint (PCF) analysis report for mluwzxpjqw by Senior Sustainability Consultant veqmghmoxo, adhering to GHG Protocol and 2026 updates.</dc:description>
  <dc:language>en</dc:language>
  <cp:keywords/>
  <dcterms:created xsi:type="dcterms:W3CDTF">2026-05-30T21:04:21Z</dcterms:created>
  <dcterms:modified xsi:type="dcterms:W3CDTF">2026-05-30T21:04:21Z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