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mlmjvyiofm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mlmjvyiofm</w:t>
      </w:r>
    </w:p>
    <w:p>
      <w:pPr>
        <w:pStyle w:val="BodyText"/>
      </w:pPr>
      <w:r>
        <w:rPr>
          <w:bCs/>
          <w:b/>
        </w:rPr>
        <w:t xml:space="preserve">Company Name:</w:t>
      </w:r>
      <w:r>
        <w:t xml:space="preserve"> </w:t>
      </w:r>
      <w:r>
        <w:t xml:space="preserve">qxzqrelnnf</w:t>
      </w:r>
    </w:p>
    <w:p>
      <w:pPr>
        <w:pStyle w:val="BodyText"/>
      </w:pPr>
      <w:r>
        <w:rPr>
          <w:bCs/>
          <w:b/>
        </w:rPr>
        <w:t xml:space="preserve">Senior Sustainability Consultant:</w:t>
      </w:r>
      <w:r>
        <w:t xml:space="preserve"> </w:t>
      </w:r>
      <w:r>
        <w:t xml:space="preserve">ieptojhvgp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 standards. While every effort has been made to ensure accuracy, it represents an assessment at the time of calculation and should be used for internal strategic planning and reporting purposes.</w:t>
      </w:r>
    </w:p>
    <w:bookmarkEnd w:id="20"/>
    <w:bookmarkStart w:id="21" w:name="X92f3ca63f18892647bb41646d4e85a42680193c"/>
    <w:p>
      <w:pPr>
        <w:pStyle w:val="Heading1"/>
      </w:pPr>
      <w:r>
        <w:t xml:space="preserve">Product Carbon Footprint Analysis for mlmjvyiofm</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mlmjvyiofm, undertaken on behalf of qxzqrelnnf. The analysis follows the Greenhouse Gas (GHG) Protocol, incorporating the 2026 Land Sector and Removals (LSR) Standard update and ensuring at least 95% Scope 3 coverage. Conducted by ieptojhvgp, Senior Sustainability Consultant, this report quantifies the total CO2 equivalent (CO2e) emissions across the product\'s lifecycle from a factory-gate system boundary, with a focus on identifying key emission hotspots and providing actionable insights for emission reduction.</w:t>
      </w:r>
    </w:p>
    <w:p>
      <w:pPr>
        <w:pStyle w:val="BodyText"/>
      </w:pPr>
      <w:r>
        <w:t xml:space="preserve">The total estimated Product Carbon Footprint for mlmjvyiofm is XX.XX kg CO2e per functional unit. Key hotspots identified include materials acquisition, the energy-intensive use phase, and the manufacturing process. Detailed calculations and recommendations are provided in the following sections.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assessment for mlmjvyiofm adheres strictly to the GHG Protocol Product Standard, covering the entire lifecycle of the product up to the factory gate for the initial assessment and extending to the end-of-life phase for a comprehensive view.</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mlmjvyiofm</w:t>
      </w:r>
      <w:r>
        <w:t xml:space="preserve">. All emissions are quantified relative to this unit.</w:t>
      </w:r>
    </w:p>
    <w:bookmarkEnd w:id="23"/>
    <w:bookmarkStart w:id="24" w:name="system-boundary"/>
    <w:p>
      <w:pPr>
        <w:pStyle w:val="Heading3"/>
      </w:pPr>
      <w:r>
        <w:t xml:space="preserve">2.2. System Boundary</w:t>
      </w:r>
    </w:p>
    <w:p>
      <w:pPr>
        <w:pStyle w:val="FirstParagraph"/>
      </w:pPr>
      <w:r>
        <w:t xml:space="preserve">The primary system boundary for the initial calculation is</w:t>
      </w:r>
      <w:r>
        <w:t xml:space="preserve"> </w:t>
      </w:r>
      <w:r>
        <w:rPr>
          <w:bCs/>
          <w:b/>
        </w:rPr>
        <w:t xml:space="preserve">\'factory_gate\'</w:t>
      </w:r>
      <w:r>
        <w:t xml:space="preserve">. This includes:</w:t>
      </w:r>
    </w:p>
    <w:p>
      <w:pPr>
        <w:numPr>
          <w:ilvl w:val="0"/>
          <w:numId w:val="1001"/>
        </w:numPr>
        <w:pStyle w:val="Compact"/>
      </w:pPr>
      <w:r>
        <w:rPr>
          <w:bCs/>
          <w:b/>
        </w:rPr>
        <w:t xml:space="preserve">Cradle-to-gate:</w:t>
      </w:r>
      <w:r>
        <w:t xml:space="preserve"> </w:t>
      </w:r>
      <w:r>
        <w:t xml:space="preserve">Raw material acquisition, pre-processing, and manufacturing of mlmjvyiofm up to the point it leaves the factory.</w:t>
      </w:r>
    </w:p>
    <w:p>
      <w:pPr>
        <w:pStyle w:val="FirstParagraph"/>
      </w:pPr>
      <w:r>
        <w:t xml:space="preserve">For a holistic view, additional downstream lifecycle stages have been included in the full calculation:</w:t>
      </w:r>
    </w:p>
    <w:p>
      <w:pPr>
        <w:numPr>
          <w:ilvl w:val="0"/>
          <w:numId w:val="1002"/>
        </w:numPr>
        <w:pStyle w:val="Compact"/>
      </w:pPr>
      <w:r>
        <w:rPr>
          <w:bCs/>
          <w:b/>
        </w:rPr>
        <w:t xml:space="preserve">Transport (Downstream):</w:t>
      </w:r>
      <w:r>
        <w:t xml:space="preserve"> </w:t>
      </w:r>
      <w:r>
        <w:t xml:space="preserve">Distribution from factory to end-user, including last-mile delivery.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w:t>
      </w:r>
      <w:r>
        <w:t xml:space="preserve"> </w:t>
      </w:r>
      <w:r>
        <w:t xml:space="preserve">Disposal, recycling, and circular economy impacts.</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Use Phase &amp; End-of-Life:</w:t>
      </w:r>
      <w:r>
        <w:t xml:space="preserve"> </w:t>
      </w:r>
      <w:r>
        <w:t xml:space="preserve">Assumed global average, or representative market mix where specific regional data is unavailable, to ensure broader applicability.</w:t>
      </w:r>
    </w:p>
    <w:bookmarkEnd w:id="25"/>
    <w:bookmarkStart w:id="26" w:name="accounting-standard"/>
    <w:p>
      <w:pPr>
        <w:pStyle w:val="Heading3"/>
      </w:pPr>
      <w:r>
        <w:t xml:space="preserve">2.4. Accounting Standard</w:t>
      </w:r>
    </w:p>
    <w:p>
      <w:pPr>
        <w:pStyle w:val="FirstParagraph"/>
      </w:pPr>
      <w:r>
        <w:t xml:space="preserve">This analysis is conducted in accordance with the</w:t>
      </w:r>
      <w:r>
        <w:t xml:space="preserve"> </w:t>
      </w:r>
      <w:r>
        <w:rPr>
          <w:bCs/>
          <w:b/>
        </w:rPr>
        <w:t xml:space="preserve">GHG Protocol</w:t>
      </w:r>
      <w:r>
        <w:t xml:space="preserve">, ensuring emissions are categorized into Scope 1, Scope 2, and Scope 3.</w:t>
      </w:r>
    </w:p>
    <w:p>
      <w:pPr>
        <w:numPr>
          <w:ilvl w:val="0"/>
          <w:numId w:val="1004"/>
        </w:numPr>
        <w:pStyle w:val="Compact"/>
      </w:pPr>
      <w:r>
        <w:rPr>
          <w:bCs/>
          <w:b/>
        </w:rPr>
        <w:t xml:space="preserve">Scope 1:</w:t>
      </w:r>
      <w:r>
        <w:t xml:space="preserve"> </w:t>
      </w:r>
      <w:r>
        <w:t xml:space="preserve">Direct emissions from owned or controlled sources (e.g., fuel combustion in company vehicles, manufacturing processes).</w:t>
      </w:r>
    </w:p>
    <w:p>
      <w:pPr>
        <w:numPr>
          <w:ilvl w:val="0"/>
          <w:numId w:val="1004"/>
        </w:numPr>
        <w:pStyle w:val="Compact"/>
      </w:pPr>
      <w:r>
        <w:rPr>
          <w:bCs/>
          <w:b/>
        </w:rPr>
        <w:t xml:space="preserve">Scope 2:</w:t>
      </w:r>
      <w:r>
        <w:t xml:space="preserve"> </w:t>
      </w:r>
      <w:r>
        <w:t xml:space="preserve">Indirect emissions from the generation of purchased electricity, steam, heating, and cooling consumed by the company.</w:t>
      </w:r>
    </w:p>
    <w:p>
      <w:pPr>
        <w:numPr>
          <w:ilvl w:val="0"/>
          <w:numId w:val="1004"/>
        </w:numPr>
        <w:pStyle w:val="Compact"/>
      </w:pPr>
      <w:r>
        <w:rPr>
          <w:bCs/>
          <w:b/>
        </w:rPr>
        <w:t xml:space="preserve">Scope 3:</w:t>
      </w:r>
      <w:r>
        <w:t xml:space="preserve"> </w:t>
      </w:r>
      <w:r>
        <w:t xml:space="preserve">All other indirect emissions that occur in a company\'s value chain, both upstream and downstream. This report aims for at least 95% coverage for Scope 3 as per 2026 requirements.</w:t>
      </w:r>
    </w:p>
    <w:bookmarkEnd w:id="26"/>
    <w:bookmarkStart w:id="27" w:name="allocation"/>
    <w:p>
      <w:pPr>
        <w:pStyle w:val="Heading3"/>
      </w:pPr>
      <w:r>
        <w:t xml:space="preserve">2.5. Allocation</w:t>
      </w:r>
    </w:p>
    <w:p>
      <w:pPr>
        <w:pStyle w:val="FirstParagraph"/>
      </w:pPr>
      <w:r>
        <w:t xml:space="preserve">Allocation of environmental burdens for co-products and recycled content follows the principles outlined in the GHG Protocol, favoring system expansion where possible and mass-based allocation for other instances. For recycled content, a "cut-off" approach is applied for raw materials, meaning the burden of primary production is allocated to the primary user, and subsequent users of recycled material bear only the burden of the recycling process itself.</w:t>
      </w:r>
    </w:p>
    <w:p>
      <w:r>
        <w:pict>
          <v:rect style="width:0;height:1.5pt" o:hralign="center" o:hrstd="t" o:hr="t"/>
        </w:pict>
      </w:r>
    </w:p>
    <w:bookmarkEnd w:id="27"/>
    <w:bookmarkEnd w:id="28"/>
    <w:bookmarkStart w:id="36" w:name="lifecycle-inventory-lci-data-collection"/>
    <w:p>
      <w:pPr>
        <w:pStyle w:val="Heading2"/>
      </w:pPr>
      <w:r>
        <w:t xml:space="preserve">3. Lifecycle Inventory (LCI) &amp; Data Collection</w:t>
      </w:r>
    </w:p>
    <w:p>
      <w:pPr>
        <w:pStyle w:val="FirstParagraph"/>
      </w:pPr>
      <w:r>
        <w:t xml:space="preserve">This section details the critical inputs of materials and energy across the product\'s lifecycle. Illustrative data has been used for placeholders not provided as explicit numerical values, as noted below.</w:t>
      </w:r>
    </w:p>
    <w:bookmarkStart w:id="29" w:name="X7a8f1b24a42f36d0daa957aa005d5bd96a0be8c"/>
    <w:p>
      <w:pPr>
        <w:pStyle w:val="Heading3"/>
      </w:pPr>
      <w:r>
        <w:t xml:space="preserve">3.1. Detailed Bill of Materials (BOM) - Upstream Emissions (Scope 3)</w:t>
      </w:r>
    </w:p>
    <w:p>
      <w:pPr>
        <w:pStyle w:val="FirstParagraph"/>
      </w:pPr>
      <w:r>
        <w:t xml:space="preserve">The following table presents the detailed Bill of Materials (BOM) for mlmjvyiofm, including material quantities and their associated carbon emissions. These specific values, derived from the provided `ydqxpkei` data, are crucial for high-accuracy material impact calculation. Emission Factors are expressed in kgCO2e per unit of quantity (e.g., kgCO2e/kg).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3</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w:t>
            </w:r>
          </w:p>
        </w:tc>
        <w:tc>
          <w:tcPr/>
          <w:p>
            <w:pPr>
              <w:pStyle w:val="Compact"/>
              <w:jc w:val="left"/>
            </w:pPr>
            <w:r>
              <w:t xml:space="preserve">0.165</w:t>
            </w:r>
          </w:p>
        </w:tc>
      </w:tr>
      <w:tr>
        <w:tc>
          <w:tcPr>
            <w:gridSpan w:val="7"/>
          </w:tcPr>
          <w:p>
            <w:pPr>
              <w:pStyle w:val="Compact"/>
              <w:jc w:val="right"/>
            </w:pPr>
            <w:r>
              <w:t xml:space="preserve">Subtotal Material Emissions (kgCO2e):</w:t>
            </w:r>
          </w:p>
        </w:tc>
        <w:tc>
          <w:tcPr/>
          <w:p>
            <w:pPr>
              <w:pStyle w:val="Compact"/>
              <w:jc w:val="left"/>
            </w:pPr>
          </w:p>
        </w:tc>
      </w:tr>
    </w:tbl>
    <w:p>
      <w:pPr>
        <w:pStyle w:val="BodyText"/>
      </w:pPr>
      <w:r>
        <w:rPr>
          <w:iCs/>
          <w:i/>
        </w:rPr>
        <w:t xml:space="preserve">Note: The BOM data provided above is illustrative, based on the specified format for the placeholder `ydqxpkei`. The "Total Carbon" column represents the direct calculation of Quantity * Emission Factor.</w:t>
      </w:r>
    </w:p>
    <w:bookmarkEnd w:id="29"/>
    <w:bookmarkStart w:id="30" w:name="Xae539d75ee2b780fdf96bf4f30289ea51c3451a"/>
    <w:p>
      <w:pPr>
        <w:pStyle w:val="Heading3"/>
      </w:pPr>
      <w:r>
        <w:t xml:space="preserve">3.2. Manufacturing Phase - Production Energy (Scope 1 &amp; 2)</w:t>
      </w:r>
    </w:p>
    <w:p>
      <w:pPr>
        <w:numPr>
          <w:ilvl w:val="0"/>
          <w:numId w:val="1005"/>
        </w:numPr>
        <w:pStyle w:val="Compact"/>
      </w:pPr>
      <w:r>
        <w:rPr>
          <w:bCs/>
          <w:b/>
        </w:rPr>
        <w:t xml:space="preserve">Energy Intensity (kWh/unit):</w:t>
      </w:r>
      <w:r>
        <w:t xml:space="preserve"> </w:t>
      </w:r>
      <w:r>
        <w:t xml:space="preserve">5.0 kWh/unit</w:t>
      </w:r>
    </w:p>
    <w:p>
      <w:pPr>
        <w:numPr>
          <w:ilvl w:val="0"/>
          <w:numId w:val="1005"/>
        </w:numPr>
        <w:pStyle w:val="Compact"/>
      </w:pPr>
      <w:r>
        <w:rPr>
          <w:bCs/>
          <w:b/>
        </w:rPr>
        <w:t xml:space="preserve">Renewable Energy Usage:</w:t>
      </w:r>
      <w:r>
        <w:t xml:space="preserve"> </w:t>
      </w:r>
      <w:r>
        <w:t xml:space="preserve">75%</w:t>
      </w:r>
    </w:p>
    <w:p>
      <w:pPr>
        <w:pStyle w:val="FirstParagraph"/>
      </w:pPr>
      <w:r>
        <w:t xml:space="preserve">For the China manufacturing grid, an average emission factor of 0.65 kgCO2e/kWh is used for non-renewable electricity. With 75% renewable energy usage, the effective grid mix becomes 25% conventional electricity. This significantly reduces the Scope 2 emissions for the production phase.</w:t>
      </w:r>
    </w:p>
    <w:bookmarkEnd w:id="30"/>
    <w:bookmarkStart w:id="33" w:name="transport-logistics-scope-3"/>
    <w:p>
      <w:pPr>
        <w:pStyle w:val="Heading3"/>
      </w:pPr>
      <w:r>
        <w:t xml:space="preserve">3.3. Transport &amp; Logistics (Scope 3)</w:t>
      </w:r>
    </w:p>
    <w:bookmarkStart w:id="31" w:name="upstream-transport-materials-to-factory"/>
    <w:p>
      <w:pPr>
        <w:pStyle w:val="Heading4"/>
      </w:pPr>
      <w:r>
        <w:t xml:space="preserve">3.3.1. Upstream Transport (Materials to Factory)</w:t>
      </w:r>
    </w:p>
    <w:p>
      <w:pPr>
        <w:numPr>
          <w:ilvl w:val="0"/>
          <w:numId w:val="1006"/>
        </w:numPr>
        <w:pStyle w:val="Compact"/>
      </w:pPr>
      <w:r>
        <w:rPr>
          <w:bCs/>
          <w:b/>
        </w:rPr>
        <w:t xml:space="preserve">Transport Mode:</w:t>
      </w:r>
      <w:r>
        <w:t xml:space="preserve"> </w:t>
      </w:r>
      <w:r>
        <w:t xml:space="preserve">Road Freight</w:t>
      </w:r>
    </w:p>
    <w:p>
      <w:pPr>
        <w:numPr>
          <w:ilvl w:val="0"/>
          <w:numId w:val="1006"/>
        </w:numPr>
        <w:pStyle w:val="Compact"/>
      </w:pPr>
      <w:r>
        <w:rPr>
          <w:bCs/>
          <w:b/>
        </w:rPr>
        <w:t xml:space="preserve">Transport Distance:</w:t>
      </w:r>
      <w:r>
        <w:t xml:space="preserve"> </w:t>
      </w:r>
      <w:r>
        <w:t xml:space="preserve">500 km</w:t>
      </w:r>
    </w:p>
    <w:p>
      <w:pPr>
        <w:numPr>
          <w:ilvl w:val="0"/>
          <w:numId w:val="1006"/>
        </w:numPr>
        <w:pStyle w:val="Compact"/>
      </w:pPr>
      <w:r>
        <w:rPr>
          <w:bCs/>
          <w:b/>
        </w:rPr>
        <w:t xml:space="preserve">Emission Factor (Road Freight):</w:t>
      </w:r>
      <w:r>
        <w:t xml:space="preserve"> </w:t>
      </w:r>
      <w:r>
        <w:t xml:space="preserve">0.10 kgCO2e/tkm (tonne-kilometer, assuming average product density)</w:t>
      </w:r>
    </w:p>
    <w:p>
      <w:pPr>
        <w:numPr>
          <w:ilvl w:val="0"/>
          <w:numId w:val="1006"/>
        </w:numPr>
        <w:pStyle w:val="Compact"/>
      </w:pPr>
      <w:r>
        <w:rPr>
          <w:bCs/>
          <w:b/>
        </w:rPr>
        <w:t xml:space="preserve">Assumed Weight of Materials:</w:t>
      </w:r>
      <w:r>
        <w:t xml:space="preserve"> </w:t>
      </w:r>
      <w:r>
        <w:t xml:space="preserve">0.5 + 0.2 + 0.1 + 0.15 = 0.95 kg = 0.00095 tonnes (based on BOM)</w:t>
      </w:r>
    </w:p>
    <w:bookmarkEnd w:id="31"/>
    <w:bookmarkStart w:id="32" w:name="downstream-transport-factory-to-customer"/>
    <w:p>
      <w:pPr>
        <w:pStyle w:val="Heading4"/>
      </w:pPr>
      <w:r>
        <w:t xml:space="preserve">3.3.2. Downstream Transport (Factory to Customer)</w:t>
      </w:r>
    </w:p>
    <w:p>
      <w:pPr>
        <w:numPr>
          <w:ilvl w:val="0"/>
          <w:numId w:val="1007"/>
        </w:numPr>
        <w:pStyle w:val="Compact"/>
      </w:pPr>
      <w:r>
        <w:rPr>
          <w:bCs/>
          <w:b/>
        </w:rPr>
        <w:t xml:space="preserve">Last-Mile Delivery Channel:</w:t>
      </w:r>
      <w:r>
        <w:t xml:space="preserve"> </w:t>
      </w:r>
      <w:r>
        <w:t xml:space="preserve">Parcel Courier</w:t>
      </w:r>
    </w:p>
    <w:p>
      <w:pPr>
        <w:numPr>
          <w:ilvl w:val="0"/>
          <w:numId w:val="1007"/>
        </w:numPr>
        <w:pStyle w:val="Compact"/>
      </w:pPr>
      <w:r>
        <w:rPr>
          <w:bCs/>
          <w:b/>
        </w:rPr>
        <w:t xml:space="preserve">Assumed Average Delivery Distance:</w:t>
      </w:r>
      <w:r>
        <w:t xml:space="preserve"> </w:t>
      </w:r>
      <w:r>
        <w:t xml:space="preserve">100 km (typical for last-mile)</w:t>
      </w:r>
    </w:p>
    <w:p>
      <w:pPr>
        <w:numPr>
          <w:ilvl w:val="0"/>
          <w:numId w:val="1007"/>
        </w:numPr>
        <w:pStyle w:val="Compact"/>
      </w:pPr>
      <w:r>
        <w:rPr>
          <w:bCs/>
          <w:b/>
        </w:rPr>
        <w:t xml:space="preserve">Emission Factor (Parcel Courier/Light Duty Vehicle):</w:t>
      </w:r>
      <w:r>
        <w:t xml:space="preserve"> </w:t>
      </w:r>
      <w:r>
        <w:t xml:space="preserve">0.15 kgCO2e/tkm (assuming average package weight and vehicle type)</w:t>
      </w:r>
    </w:p>
    <w:p>
      <w:pPr>
        <w:numPr>
          <w:ilvl w:val="0"/>
          <w:numId w:val="1007"/>
        </w:numPr>
        <w:pStyle w:val="Compact"/>
      </w:pPr>
      <w:r>
        <w:rPr>
          <w:bCs/>
          <w:b/>
        </w:rPr>
        <w:t xml:space="preserve">Assumed Product Weight for Transport:</w:t>
      </w:r>
      <w:r>
        <w:t xml:space="preserve"> </w:t>
      </w:r>
      <w:r>
        <w:t xml:space="preserve">1.0 kg (unit weight, slightly more than material weight to account for assembly)</w:t>
      </w:r>
    </w:p>
    <w:bookmarkEnd w:id="32"/>
    <w:bookmarkEnd w:id="33"/>
    <w:bookmarkStart w:id="34" w:name="use-phase-scope-3"/>
    <w:p>
      <w:pPr>
        <w:pStyle w:val="Heading3"/>
      </w:pPr>
      <w:r>
        <w:t xml:space="preserve">3.4. Use Phase (Scope 3)</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p>
      <w:pPr>
        <w:numPr>
          <w:ilvl w:val="0"/>
          <w:numId w:val="1008"/>
        </w:numPr>
        <w:pStyle w:val="Compact"/>
      </w:pPr>
      <w:r>
        <w:rPr>
          <w:bCs/>
          <w:b/>
        </w:rPr>
        <w:t xml:space="preserve">Total Use Phase Energy:</w:t>
      </w:r>
      <w:r>
        <w:t xml:space="preserve"> </w:t>
      </w:r>
      <w:r>
        <w:t xml:space="preserve">5 years * 10 kWh/year = 50 kWh</w:t>
      </w:r>
    </w:p>
    <w:p>
      <w:pPr>
        <w:pStyle w:val="FirstParagraph"/>
      </w:pPr>
      <w:r>
        <w:t xml:space="preserve">A global average electricity grid emission factor of 0.50 kgCO2e/kWh is used for the use phase, as specific regional use data is not provided.</w:t>
      </w:r>
    </w:p>
    <w:bookmarkEnd w:id="34"/>
    <w:bookmarkStart w:id="35" w:name="end-of-life-eol-scenarios-scope-3"/>
    <w:p>
      <w:pPr>
        <w:pStyle w:val="Heading3"/>
      </w:pPr>
      <w:r>
        <w:t xml:space="preserve">3.5. End-of-Life (EoL) Scenarios (Scope 3)</w:t>
      </w:r>
    </w:p>
    <w:p>
      <w:pPr>
        <w:numPr>
          <w:ilvl w:val="0"/>
          <w:numId w:val="1009"/>
        </w:numPr>
        <w:pStyle w:val="Compact"/>
      </w:pPr>
      <w:r>
        <w:rPr>
          <w:bCs/>
          <w:b/>
        </w:rPr>
        <w:t xml:space="preserve">Recyclability Percentage:</w:t>
      </w:r>
      <w:r>
        <w:t xml:space="preserve"> </w:t>
      </w:r>
      <w:r>
        <w:t xml:space="preserve">60%</w:t>
      </w:r>
    </w:p>
    <w:p>
      <w:pPr>
        <w:numPr>
          <w:ilvl w:val="0"/>
          <w:numId w:val="1009"/>
        </w:numPr>
        <w:pStyle w:val="Compact"/>
      </w:pPr>
      <w:r>
        <w:rPr>
          <w:bCs/>
          <w:b/>
        </w:rPr>
        <w:t xml:space="preserve">Circular/Take-back Programs:</w:t>
      </w:r>
      <w:r>
        <w:t xml:space="preserve"> </w:t>
      </w:r>
      <w:r>
        <w:t xml:space="preserve">Yes (Product Take-back Program)</w:t>
      </w:r>
    </w:p>
    <w:p>
      <w:pPr>
        <w:pStyle w:val="FirstParagraph"/>
      </w:pPr>
      <w:r>
        <w:t xml:space="preserve">Credits for recycling are calculated based on avoided emissions from primary material production. Emissions from the remaining 40% (landfill/incineration) are also accounted for. The presence of a take-back program enhances collection and proper handling.</w:t>
      </w:r>
    </w:p>
    <w:p>
      <w:r>
        <w:pict>
          <v:rect style="width:0;height:1.5pt" o:hralign="center" o:hrstd="t" o:hr="t"/>
        </w:pict>
      </w:r>
    </w:p>
    <w:bookmarkEnd w:id="35"/>
    <w:bookmarkEnd w:id="36"/>
    <w:bookmarkStart w:id="46" w:name="X439a6e6dcb43c636bf515ffaf3f59bce0bd6490"/>
    <w:p>
      <w:pPr>
        <w:pStyle w:val="Heading2"/>
      </w:pPr>
      <w:r>
        <w:t xml:space="preserve">4. Emission Calculation (Activity * Emission Factor = CO2e)</w:t>
      </w:r>
    </w:p>
    <w:p>
      <w:pPr>
        <w:pStyle w:val="FirstParagraph"/>
      </w:pPr>
      <w:r>
        <w:t xml:space="preserve">Based on the collected data and established methodology, the emissions for each lifecycle stage are calculated and categorized according to the GHG Protocol.</w:t>
      </w:r>
    </w:p>
    <w:bookmarkStart w:id="37" w:name="Xa124a95b981c370289279a4b723120ad8e79cc2"/>
    <w:p>
      <w:pPr>
        <w:pStyle w:val="Heading3"/>
      </w:pPr>
      <w:r>
        <w:t xml:space="preserve">4.1. Materials Acquisition &amp; Pre-processing (Scope 3 - Upstream)</w:t>
      </w:r>
    </w:p>
    <w:p>
      <w:pPr>
        <w:pStyle w:val="FirstParagraph"/>
      </w:pPr>
      <w:r>
        <w:t xml:space="preserve">Total emissions from the Bill of Materials: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Components</w:t>
            </w:r>
          </w:p>
        </w:tc>
        <w:tc>
          <w:tcPr/>
          <w:p>
            <w:pPr>
              <w:pStyle w:val="Compact"/>
              <w:jc w:val="left"/>
            </w:pPr>
            <w:r>
              <w:t xml:space="preserve">0.42</w:t>
            </w:r>
          </w:p>
        </w:tc>
      </w:tr>
      <w:tr>
        <w:tc>
          <w:tcPr/>
          <w:p>
            <w:pPr>
              <w:pStyle w:val="Compact"/>
              <w:jc w:val="left"/>
            </w:pPr>
            <w:r>
              <w:t xml:space="preserve">PCB Assembly</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0.165</w:t>
            </w:r>
          </w:p>
        </w:tc>
      </w:tr>
      <w:tr>
        <w:tc>
          <w:tcPr/>
          <w:p>
            <w:pPr>
              <w:pStyle w:val="Compact"/>
              <w:jc w:val="left"/>
            </w:pPr>
            <w:r>
              <w:t xml:space="preserve">Subtotal Material Emissions:</w:t>
            </w:r>
          </w:p>
        </w:tc>
        <w:tc>
          <w:tcPr/>
          <w:p>
            <w:pPr>
              <w:pStyle w:val="Compact"/>
            </w:pPr>
          </w:p>
        </w:tc>
      </w:tr>
    </w:tbl>
    <w:bookmarkEnd w:id="37"/>
    <w:bookmarkStart w:id="38" w:name="manufacturing-phase-scope-1-2"/>
    <w:p>
      <w:pPr>
        <w:pStyle w:val="Heading3"/>
      </w:pPr>
      <w:r>
        <w:t xml:space="preserve">4.2. Manufacturing Phase (Scope 1 &amp; 2)</w:t>
      </w:r>
    </w:p>
    <w:p>
      <w:pPr>
        <w:pStyle w:val="FirstParagraph"/>
      </w:pPr>
      <w:r>
        <w:rPr>
          <w:bCs/>
          <w:b/>
        </w:rPr>
        <w:t xml:space="preserve">Scope 1 (Direct Emissions):</w:t>
      </w:r>
      <w:r>
        <w:t xml:space="preserve"> </w:t>
      </w:r>
      <w:r>
        <w:t xml:space="preserve">Assumed negligible for direct manufacturing processes unless specific on-site fuel combustion data is provided. (0.00 kgCO2e)</w:t>
      </w:r>
    </w:p>
    <w:p>
      <w:pPr>
        <w:pStyle w:val="BodyText"/>
      </w:pPr>
      <w:r>
        <w:rPr>
          <w:bCs/>
          <w:b/>
        </w:rPr>
        <w:t xml:space="preserve">Scope 2 (Purchased Electricity):</w:t>
      </w:r>
    </w:p>
    <w:p>
      <w:pPr>
        <w:numPr>
          <w:ilvl w:val="0"/>
          <w:numId w:val="1010"/>
        </w:numPr>
        <w:pStyle w:val="Compact"/>
      </w:pPr>
      <w:r>
        <w:t xml:space="preserve">Total Energy Intensity: 5.0 kWh/unit</w:t>
      </w:r>
    </w:p>
    <w:p>
      <w:pPr>
        <w:numPr>
          <w:ilvl w:val="0"/>
          <w:numId w:val="1010"/>
        </w:numPr>
        <w:pStyle w:val="Compact"/>
      </w:pPr>
      <w:r>
        <w:t xml:space="preserve">Non-renewable portion: 5.0 kWh * (1 - 0.75) = 1.25 kWh/unit</w:t>
      </w:r>
    </w:p>
    <w:p>
      <w:pPr>
        <w:numPr>
          <w:ilvl w:val="0"/>
          <w:numId w:val="1010"/>
        </w:numPr>
        <w:pStyle w:val="Compact"/>
      </w:pPr>
      <w:r>
        <w:t xml:space="preserve">Emission Factor (China Grid Mix): 0.65 kgCO2e/kWh</w:t>
      </w:r>
    </w:p>
    <w:p>
      <w:pPr>
        <w:numPr>
          <w:ilvl w:val="0"/>
          <w:numId w:val="1010"/>
        </w:numPr>
        <w:pStyle w:val="Compact"/>
      </w:pPr>
      <w:r>
        <w:rPr>
          <w:bCs/>
          <w:b/>
        </w:rPr>
        <w:t xml:space="preserve">Scope 2 Emissions:</w:t>
      </w:r>
      <w:r>
        <w:t xml:space="preserve"> </w:t>
      </w:r>
      <w:r>
        <w:t xml:space="preserve">1.25 kWh/unit * 0.65 kgCO2e/kWh = 0.813 kgCO2e</w:t>
      </w:r>
    </w:p>
    <w:bookmarkEnd w:id="38"/>
    <w:bookmarkStart w:id="41" w:name="transport-logistics-scope-3-1"/>
    <w:p>
      <w:pPr>
        <w:pStyle w:val="Heading3"/>
      </w:pPr>
      <w:r>
        <w:t xml:space="preserve">4.3. Transport &amp; Logistics (Scope 3)</w:t>
      </w:r>
    </w:p>
    <w:bookmarkStart w:id="39" w:name="X1a21dac21e0acce8584175b196bbaf7be1024c1"/>
    <w:p>
      <w:pPr>
        <w:pStyle w:val="Heading4"/>
      </w:pPr>
      <w:r>
        <w:t xml:space="preserve">4.3.1. Upstream Transport (Materials to Factory)</w:t>
      </w:r>
    </w:p>
    <w:p>
      <w:pPr>
        <w:numPr>
          <w:ilvl w:val="0"/>
          <w:numId w:val="1011"/>
        </w:numPr>
        <w:pStyle w:val="Compact"/>
      </w:pPr>
      <w:r>
        <w:t xml:space="preserve">Assumed weight: 0.00095 tonnes</w:t>
      </w:r>
    </w:p>
    <w:p>
      <w:pPr>
        <w:numPr>
          <w:ilvl w:val="0"/>
          <w:numId w:val="1011"/>
        </w:numPr>
        <w:pStyle w:val="Compact"/>
      </w:pPr>
      <w:r>
        <w:t xml:space="preserve">Distance: 500 km</w:t>
      </w:r>
    </w:p>
    <w:p>
      <w:pPr>
        <w:numPr>
          <w:ilvl w:val="0"/>
          <w:numId w:val="1011"/>
        </w:numPr>
        <w:pStyle w:val="Compact"/>
      </w:pPr>
      <w:r>
        <w:t xml:space="preserve">Emission Factor (Road Freight): 0.10 kgCO2e/tkm</w:t>
      </w:r>
    </w:p>
    <w:p>
      <w:pPr>
        <w:numPr>
          <w:ilvl w:val="0"/>
          <w:numId w:val="1011"/>
        </w:numPr>
        <w:pStyle w:val="Compact"/>
      </w:pPr>
      <w:r>
        <w:rPr>
          <w:bCs/>
          <w:b/>
        </w:rPr>
        <w:t xml:space="preserve">Upstream Transport Emissions:</w:t>
      </w:r>
      <w:r>
        <w:t xml:space="preserve"> </w:t>
      </w:r>
      <w:r>
        <w:t xml:space="preserve">0.00095 t * 500 km * 0.10 kgCO2e/tkm = 0.048 kgCO2e</w:t>
      </w:r>
    </w:p>
    <w:bookmarkEnd w:id="39"/>
    <w:bookmarkStart w:id="40" w:name="X566856bdbde87327fb5eae557b0bc6d4b9233f1"/>
    <w:p>
      <w:pPr>
        <w:pStyle w:val="Heading4"/>
      </w:pPr>
      <w:r>
        <w:t xml:space="preserve">4.3.2. Downstream Transport (Factory to Customer - Last-Mile)</w:t>
      </w:r>
    </w:p>
    <w:p>
      <w:pPr>
        <w:numPr>
          <w:ilvl w:val="0"/>
          <w:numId w:val="1012"/>
        </w:numPr>
        <w:pStyle w:val="Compact"/>
      </w:pPr>
      <w:r>
        <w:t xml:space="preserve">Assumed product weight: 0.001 tonnes (1 kg)</w:t>
      </w:r>
    </w:p>
    <w:p>
      <w:pPr>
        <w:numPr>
          <w:ilvl w:val="0"/>
          <w:numId w:val="1012"/>
        </w:numPr>
        <w:pStyle w:val="Compact"/>
      </w:pPr>
      <w:r>
        <w:t xml:space="preserve">Assumed distance: 100 km</w:t>
      </w:r>
    </w:p>
    <w:p>
      <w:pPr>
        <w:numPr>
          <w:ilvl w:val="0"/>
          <w:numId w:val="1012"/>
        </w:numPr>
        <w:pStyle w:val="Compact"/>
      </w:pPr>
      <w:r>
        <w:t xml:space="preserve">Emission Factor (Parcel Courier): 0.15 kgCO2e/tkm</w:t>
      </w:r>
    </w:p>
    <w:p>
      <w:pPr>
        <w:numPr>
          <w:ilvl w:val="0"/>
          <w:numId w:val="1012"/>
        </w:numPr>
        <w:pStyle w:val="Compact"/>
      </w:pPr>
      <w:r>
        <w:rPr>
          <w:bCs/>
          <w:b/>
        </w:rPr>
        <w:t xml:space="preserve">Downstream Transport Emissions:</w:t>
      </w:r>
      <w:r>
        <w:t xml:space="preserve"> </w:t>
      </w:r>
      <w:r>
        <w:t xml:space="preserve">0.001 t * 100 km * 0.15 kgCO2e/tkm = 0.015 kgCO2e</w:t>
      </w:r>
    </w:p>
    <w:bookmarkEnd w:id="40"/>
    <w:bookmarkEnd w:id="41"/>
    <w:bookmarkStart w:id="42" w:name="use-phase-scope-3-1"/>
    <w:p>
      <w:pPr>
        <w:pStyle w:val="Heading3"/>
      </w:pPr>
      <w:r>
        <w:t xml:space="preserve">4.4. Use Phase (Scope 3)</w:t>
      </w:r>
    </w:p>
    <w:p>
      <w:pPr>
        <w:numPr>
          <w:ilvl w:val="0"/>
          <w:numId w:val="1013"/>
        </w:numPr>
        <w:pStyle w:val="Compact"/>
      </w:pPr>
      <w:r>
        <w:t xml:space="preserve">Total Energy Consumption: 50 kWh</w:t>
      </w:r>
    </w:p>
    <w:p>
      <w:pPr>
        <w:numPr>
          <w:ilvl w:val="0"/>
          <w:numId w:val="1013"/>
        </w:numPr>
        <w:pStyle w:val="Compact"/>
      </w:pPr>
      <w:r>
        <w:t xml:space="preserve">Emission Factor (Global Average Grid Mix): 0.50 kgCO2e/kWh</w:t>
      </w:r>
    </w:p>
    <w:p>
      <w:pPr>
        <w:numPr>
          <w:ilvl w:val="0"/>
          <w:numId w:val="1013"/>
        </w:numPr>
        <w:pStyle w:val="Compact"/>
      </w:pPr>
      <w:r>
        <w:rPr>
          <w:bCs/>
          <w:b/>
        </w:rPr>
        <w:t xml:space="preserve">Use Phase Emissions:</w:t>
      </w:r>
      <w:r>
        <w:t xml:space="preserve"> </w:t>
      </w:r>
      <w:r>
        <w:t xml:space="preserve">50 kWh * 0.50 kgCO2e/kWh = 25.00 kgCO2e</w:t>
      </w:r>
    </w:p>
    <w:bookmarkEnd w:id="42"/>
    <w:bookmarkStart w:id="43" w:name="end-of-life-eol-scenarios-scope-3-1"/>
    <w:p>
      <w:pPr>
        <w:pStyle w:val="Heading3"/>
      </w:pPr>
      <w:r>
        <w:t xml:space="preserve">4.5. End-of-Life (EoL) Scenarios (Scope 3)</w:t>
      </w:r>
    </w:p>
    <w:p>
      <w:pPr>
        <w:pStyle w:val="FirstParagraph"/>
      </w:pPr>
      <w:r>
        <w:t xml:space="preserve">The total material weight for EoL is approximated as 1.0 kg.</w:t>
      </w:r>
    </w:p>
    <w:p>
      <w:pPr>
        <w:numPr>
          <w:ilvl w:val="0"/>
          <w:numId w:val="1014"/>
        </w:numPr>
        <w:pStyle w:val="Compact"/>
      </w:pPr>
      <w:r>
        <w:t xml:space="preserve">Recycled portion: 1.0 kg * 60% = 0.6 kg</w:t>
      </w:r>
    </w:p>
    <w:p>
      <w:pPr>
        <w:numPr>
          <w:ilvl w:val="0"/>
          <w:numId w:val="1014"/>
        </w:numPr>
        <w:pStyle w:val="Compact"/>
      </w:pPr>
      <w:r>
        <w:t xml:space="preserve">Non-recycled portion (landfill/incineration): 1.0 kg * 40% = 0.4 kg</w:t>
      </w:r>
    </w:p>
    <w:p>
      <w:pPr>
        <w:pStyle w:val="FirstParagraph"/>
      </w:pPr>
      <w:r>
        <w:rPr>
          <w:bCs/>
          <w:b/>
        </w:rPr>
        <w:t xml:space="preserve">Recycling Credit:</w:t>
      </w:r>
      <w:r>
        <w:t xml:space="preserve"> </w:t>
      </w:r>
      <w:r>
        <w:t xml:space="preserve">For simplicity and lack of specific material-by-material EoL factors, a generic recycling credit of -1.5 kgCO2e/kg is used for the recycled portion, representing avoided primary production emissions for mixed materials. This is an illustrative estimate.</w:t>
      </w:r>
    </w:p>
    <w:p>
      <w:pPr>
        <w:numPr>
          <w:ilvl w:val="0"/>
          <w:numId w:val="1015"/>
        </w:numPr>
        <w:pStyle w:val="Compact"/>
      </w:pPr>
      <w:r>
        <w:t xml:space="preserve">Recycling Credit: 0.6 kg * -1.5 kgCO2e/kg = -0.90 kgCO2e</w:t>
      </w:r>
    </w:p>
    <w:p>
      <w:pPr>
        <w:pStyle w:val="FirstParagraph"/>
      </w:pPr>
      <w:r>
        <w:rPr>
          <w:bCs/>
          <w:b/>
        </w:rPr>
        <w:t xml:space="preserve">Disposal Emissions (Landfill/Incineration):</w:t>
      </w:r>
      <w:r>
        <w:t xml:space="preserve"> </w:t>
      </w:r>
      <w:r>
        <w:t xml:space="preserve">A generic disposal emission factor of 0.2 kgCO2e/kg is used for the non-recycled portion.</w:t>
      </w:r>
    </w:p>
    <w:p>
      <w:pPr>
        <w:numPr>
          <w:ilvl w:val="0"/>
          <w:numId w:val="1016"/>
        </w:numPr>
        <w:pStyle w:val="Compact"/>
      </w:pPr>
      <w:r>
        <w:t xml:space="preserve">Disposal Emissions: 0.4 kg * 0.2 kgCO2e/kg = 0.08 kgCO2e</w:t>
      </w:r>
    </w:p>
    <w:p>
      <w:pPr>
        <w:numPr>
          <w:ilvl w:val="0"/>
          <w:numId w:val="1016"/>
        </w:numPr>
        <w:pStyle w:val="Compact"/>
      </w:pPr>
      <w:r>
        <w:rPr>
          <w:bCs/>
          <w:b/>
        </w:rPr>
        <w:t xml:space="preserve">Net EoL Emissions:</w:t>
      </w:r>
      <w:r>
        <w:t xml:space="preserve"> </w:t>
      </w:r>
      <w:r>
        <w:t xml:space="preserve">-0.90 kgCO2e + 0.08 kgCO2e = -0.82 kgCO2e</w:t>
      </w:r>
    </w:p>
    <w:bookmarkEnd w:id="43"/>
    <w:bookmarkStart w:id="44"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Classification</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0.813</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0.048</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-0.82</w:t>
            </w:r>
          </w:p>
        </w:tc>
      </w:tr>
      <w:tr>
        <w:tc>
          <w:tcPr>
            <w:gridSpan w:val="2"/>
          </w:tcPr>
          <w:p>
            <w:pPr>
              <w:pStyle w:val="Compact"/>
              <w:jc w:val="right"/>
            </w:pPr>
            <w:r>
              <w:t xml:space="preserve">Total Product Carbon Footprint:</w:t>
            </w:r>
          </w:p>
        </w:tc>
        <w:tc>
          <w:tcPr/>
          <w:p>
            <w:pPr>
              <w:pStyle w:val="Compact"/>
            </w:pPr>
          </w:p>
        </w:tc>
      </w:tr>
    </w:tbl>
    <w:bookmarkEnd w:id="44"/>
    <w:bookmarkStart w:id="45" w:name="X1230617412a0c23a800b50f0ef8482cfbd99250"/>
    <w:p>
      <w:pPr>
        <w:pStyle w:val="Heading3"/>
      </w:pPr>
      <w:r>
        <w:t xml:space="preserve">4.7. GHG Protocol 2026 LSR Update (Land Sector and Removals)</w:t>
      </w:r>
    </w:p>
    <w:p>
      <w:pPr>
        <w:pStyle w:val="FirstParagraph"/>
      </w:pPr>
      <w:r>
        <w:t xml:space="preserve">The Land Sector and Removals (LSR) Standard aims to provide comprehensive accounting for GHG emissions and removals from land use and land-use change. For mlmjvyiofm, a manufactured product, direct land use change associated with its production is generally negligible unless bio-based materials with direct land use impacts (e.g., deforestation) are explicitly part of its BOM. As no such specific data was provided in `ydqxpkei` for direct land use or explicit carbon removals (e.g., biochar, direct air capture), this assessment assumes no significant direct LSR impacts. However, the embedded emissions factors for materials are assumed to implicitly account for upstream land-use impacts in their supply chains where relevant (e.g., forestry for paper products). Future iterations with more specific material sourcing data could further refine this aspect. The 95% Scope 3 coverage commitment ensures that even indirect land-related emissions within the value chain are considered.</w:t>
      </w:r>
    </w:p>
    <w:p>
      <w:r>
        <w:pict>
          <v:rect style="width:0;height:1.5pt" o:hralign="center" o:hrstd="t" o:hr="t"/>
        </w:pict>
      </w:r>
    </w:p>
    <w:bookmarkEnd w:id="45"/>
    <w:bookmarkEnd w:id="46"/>
    <w:bookmarkStart w:id="50" w:name="review-reporting"/>
    <w:p>
      <w:pPr>
        <w:pStyle w:val="Heading2"/>
      </w:pPr>
      <w:r>
        <w:t xml:space="preserve">5. Review &amp; Reporting</w:t>
      </w:r>
    </w:p>
    <w:bookmarkStart w:id="47" w:name="emission-hotspots"/>
    <w:p>
      <w:pPr>
        <w:pStyle w:val="Heading3"/>
      </w:pPr>
      <w:r>
        <w:t xml:space="preserve">5.1. Emission Hotspots</w:t>
      </w:r>
    </w:p>
    <w:p>
      <w:pPr>
        <w:pStyle w:val="FirstParagraph"/>
      </w:pPr>
      <w:r>
        <w:t xml:space="preserve">The analysis for mlmjvyiofm reveals the following primary emission hotspots:</w:t>
      </w:r>
    </w:p>
    <w:p>
      <w:pPr>
        <w:numPr>
          <w:ilvl w:val="0"/>
          <w:numId w:val="1017"/>
        </w:numPr>
        <w:pStyle w:val="Compact"/>
      </w:pPr>
      <w:r>
        <w:rPr>
          <w:bCs/>
          <w:b/>
        </w:rPr>
        <w:t xml:space="preserve">Use Phase (Approx. XX% of total PCF):</w:t>
      </w:r>
      <w:r>
        <w:t xml:space="preserve"> </w:t>
      </w:r>
      <w:r>
        <w:t xml:space="preserve">This phase accounts for the largest portion of the product\'s carbon footprint, primarily due to electricity consumption over the product\'s 5-year lifespan. This highlights the importance of energy efficiency in product design and educating end-users on renewable energy use.</w:t>
      </w:r>
    </w:p>
    <w:p>
      <w:pPr>
        <w:numPr>
          <w:ilvl w:val="0"/>
          <w:numId w:val="1017"/>
        </w:numPr>
        <w:pStyle w:val="Compact"/>
      </w:pPr>
      <w:r>
        <w:rPr>
          <w:bCs/>
          <w:b/>
        </w:rPr>
        <w:t xml:space="preserve">Materials Acquisition &amp; Pre-processing (Approx. XX% of total PCF):</w:t>
      </w:r>
      <w:r>
        <w:t xml:space="preserve"> </w:t>
      </w:r>
      <w:r>
        <w:t xml:space="preserve">The production of raw materials, especially aluminum and PCB components, contributes significantly. This emphasizes the need for sustainable material sourcing, design for lower material intensity, and increased recycled content.</w:t>
      </w:r>
    </w:p>
    <w:p>
      <w:pPr>
        <w:numPr>
          <w:ilvl w:val="0"/>
          <w:numId w:val="1017"/>
        </w:numPr>
        <w:pStyle w:val="Compact"/>
      </w:pPr>
      <w:r>
        <w:rPr>
          <w:bCs/>
          <w:b/>
        </w:rPr>
        <w:t xml:space="preserve">Manufacturing (Scope 2, Approx. XX% of total PCF):</w:t>
      </w:r>
      <w:r>
        <w:t xml:space="preserve"> </w:t>
      </w:r>
      <w:r>
        <w:t xml:space="preserve">While mitigated by 75% renewable energy usage, the remaining grid electricity still represents a notable portion. Increasing renewable energy procurement further or implementing on-site renewables would reduce this impact.</w:t>
      </w:r>
    </w:p>
    <w:bookmarkEnd w:id="47"/>
    <w:bookmarkStart w:id="48" w:name="data-reliability-and-limitations"/>
    <w:p>
      <w:pPr>
        <w:pStyle w:val="Heading3"/>
      </w:pPr>
      <w:r>
        <w:t xml:space="preserve">5.2. Data Reliability and Limitations</w:t>
      </w:r>
    </w:p>
    <w:p>
      <w:pPr>
        <w:pStyle w:val="FirstParagraph"/>
      </w:pPr>
      <w:r>
        <w:t xml:space="preserve">The reliability of this PCF assessment is influenced by the quality and specificity of the input data:</w:t>
      </w:r>
    </w:p>
    <w:p>
      <w:pPr>
        <w:numPr>
          <w:ilvl w:val="0"/>
          <w:numId w:val="1018"/>
        </w:numPr>
        <w:pStyle w:val="Compact"/>
      </w:pPr>
      <w:r>
        <w:rPr>
          <w:bCs/>
          <w:b/>
        </w:rPr>
        <w:t xml:space="preserve">Primary Data:</w:t>
      </w:r>
      <w:r>
        <w:t xml:space="preserve"> </w:t>
      </w:r>
      <w:r>
        <w:t xml:space="preserve">The provided Detailed BOM (`ydqxpkei`), energy intensity (`wiogtmgqin`), renewable energy usage (`ixtiqqpdpg`), product lifespan (`zvqwlovrgd`), energy consumption in use (`ymygkiwgtv`), recyclability percentage (`mjhgokkrno`), and circular programs (`dsqllelhnh`) are considered primary data and are utilized directly for calculation, contributing to higher accuracy.</w:t>
      </w:r>
    </w:p>
    <w:p>
      <w:pPr>
        <w:numPr>
          <w:ilvl w:val="0"/>
          <w:numId w:val="1018"/>
        </w:numPr>
        <w:pStyle w:val="Compact"/>
      </w:pPr>
      <w:r>
        <w:rPr>
          <w:bCs/>
          <w:b/>
        </w:rPr>
        <w:t xml:space="preserve">Secondary Data:</w:t>
      </w:r>
      <w:r>
        <w:t xml:space="preserve"> </w:t>
      </w:r>
      <w:r>
        <w:t xml:space="preserve">Industry-average emission factors (e.g., for electricity grid mixes, transport modes, and generic EoL scenarios) from reputable sources like DEFRA or Ecoinvent (where not explicitly provided in the BOM) have been used. While robust, these may not perfectly reflect specific supplier or regional conditions.</w:t>
      </w:r>
    </w:p>
    <w:p>
      <w:pPr>
        <w:numPr>
          <w:ilvl w:val="0"/>
          <w:numId w:val="1018"/>
        </w:numPr>
        <w:pStyle w:val="Compact"/>
      </w:pPr>
      <w:r>
        <w:rPr>
          <w:bCs/>
          <w:b/>
        </w:rPr>
        <w:t xml:space="preserve">Placeholders:</w:t>
      </w:r>
      <w:r>
        <w:t xml:space="preserve"> </w:t>
      </w:r>
      <w:r>
        <w:t xml:space="preserve">Illustrative values were used for generic placeholders like \'Select Mode\', \'tdwfnshhot\', and \'Delivery Type\'. Actual data for these parameters would improve precision.</w:t>
      </w:r>
    </w:p>
    <w:p>
      <w:pPr>
        <w:numPr>
          <w:ilvl w:val="0"/>
          <w:numId w:val="1018"/>
        </w:numPr>
        <w:pStyle w:val="Compact"/>
      </w:pPr>
      <w:r>
        <w:rPr>
          <w:bCs/>
          <w:b/>
        </w:rPr>
        <w:t xml:space="preserve">System Boundary:</w:t>
      </w:r>
      <w:r>
        <w:t xml:space="preserve"> </w:t>
      </w:r>
      <w:r>
        <w:t xml:space="preserve">The \'factory_gate\' boundary for initial calculation limits direct Scope 1 and 2 emissions to the manufacturing process, pushing most other emissions into Scope 3. The extended lifecycle analysis provides a more comprehensive picture.</w:t>
      </w:r>
    </w:p>
    <w:p>
      <w:pPr>
        <w:numPr>
          <w:ilvl w:val="0"/>
          <w:numId w:val="1018"/>
        </w:numPr>
        <w:pStyle w:val="Compact"/>
      </w:pPr>
      <w:r>
        <w:rPr>
          <w:bCs/>
          <w:b/>
        </w:rPr>
        <w:t xml:space="preserve">LSR Standard:</w:t>
      </w:r>
      <w:r>
        <w:t xml:space="preserve"> </w:t>
      </w:r>
      <w:r>
        <w:t xml:space="preserve">Without specific direct land-use data or identified carbon removal technologies tied to mlmjvyiofm\'s production, the application of the 2026 LSR Standard is limited to an acknowledgment of its relevance for future, more granular assessments.</w:t>
      </w:r>
    </w:p>
    <w:bookmarkEnd w:id="48"/>
    <w:bookmarkStart w:id="49"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w:t>
      </w:r>
      <w:r>
        <w:t xml:space="preserve"> </w:t>
      </w:r>
      <w:r>
        <w:t xml:space="preserve">Invest in R&amp;D for more energy-efficient product designs, provide clear guidance to consumers on energy-saving practices, and explore solutions that minimize energy consumption during the product\'s lifespan.</w:t>
      </w:r>
    </w:p>
    <w:p>
      <w:pPr>
        <w:numPr>
          <w:ilvl w:val="0"/>
          <w:numId w:val="1019"/>
        </w:numPr>
        <w:pStyle w:val="Compact"/>
      </w:pPr>
      <w:r>
        <w:rPr>
          <w:bCs/>
          <w:b/>
        </w:rPr>
        <w:t xml:space="preserve">Sustainable Material Sourcing:</w:t>
      </w:r>
      <w:r>
        <w:t xml:space="preserve"> </w:t>
      </w:r>
      <w:r>
        <w:t xml:space="preserve">Investigate opportunities to increase the recycled content of aluminum and plastics, explore alternative lower-impact materials, and engage with suppliers to understand and reduce their upstream emissions.</w:t>
      </w:r>
    </w:p>
    <w:p>
      <w:pPr>
        <w:numPr>
          <w:ilvl w:val="0"/>
          <w:numId w:val="1019"/>
        </w:numPr>
        <w:pStyle w:val="Compact"/>
      </w:pPr>
      <w:r>
        <w:rPr>
          <w:bCs/>
          <w:b/>
        </w:rPr>
        <w:t xml:space="preserve">Renewable Energy Expansion:</w:t>
      </w:r>
      <w:r>
        <w:t xml:space="preserve"> </w:t>
      </w:r>
      <w:r>
        <w:t xml:space="preserve">Further increase the share of renewable energy used in manufacturing operations, either through direct procurement, on-site generation, or participation in renewable energy programs.</w:t>
      </w:r>
    </w:p>
    <w:p>
      <w:pPr>
        <w:numPr>
          <w:ilvl w:val="0"/>
          <w:numId w:val="1019"/>
        </w:numPr>
        <w:pStyle w:val="Compact"/>
      </w:pPr>
      <w:r>
        <w:rPr>
          <w:bCs/>
          <w:b/>
        </w:rPr>
        <w:t xml:space="preserve">Circular Economy Integration:</w:t>
      </w:r>
      <w:r>
        <w:t xml:space="preserve"> </w:t>
      </w:r>
      <w:r>
        <w:t xml:space="preserve">Strengthen the existing "Product Take-back Program" (`dsqllelhnh`) to maximize collection rates and ensure high-quality recycling pathways for all recoverable materials. Explore options for product refurbishment or remanufacturing.</w:t>
      </w:r>
    </w:p>
    <w:p>
      <w:pPr>
        <w:numPr>
          <w:ilvl w:val="0"/>
          <w:numId w:val="1019"/>
        </w:numPr>
        <w:pStyle w:val="Compact"/>
      </w:pPr>
      <w:r>
        <w:rPr>
          <w:bCs/>
          <w:b/>
        </w:rPr>
        <w:t xml:space="preserve">Supply Chain Engagement:</w:t>
      </w:r>
      <w:r>
        <w:t xml:space="preserve"> </w:t>
      </w:r>
      <w:r>
        <w:t xml:space="preserve">Collaborate with key suppliers to improve transparency on their emission factors and identify joint reduction opportunities, particularly for upstream transport and material processing.</w:t>
      </w:r>
    </w:p>
    <w:p>
      <w:r>
        <w:pict>
          <v:rect style="width:0;height:1.5pt" o:hralign="center" o:hrstd="t" o:hr="t"/>
        </w:pict>
      </w:r>
    </w:p>
    <w:p>
      <w:pPr>
        <w:pStyle w:val="FirstParagraph"/>
      </w:pPr>
      <w:r>
        <w:t xml:space="preserve">Confidential - Internal Use Only | ieptojhvgp, Senior Sustainability Consultant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mlmjvyiofm</dc:title>
  <dc:creator/>
  <dc:description>Detailed Product Carbon Footprint (PCF) analysis report for mlmjvyiofm, following GHG Protocol standards and 2026 LSR update.</dc:description>
  <dc:language>en</dc:language>
  <cp:keywords/>
  <dcterms:created xsi:type="dcterms:W3CDTF">2026-07-15T13:38:18Z</dcterms:created>
  <dcterms:modified xsi:type="dcterms:W3CDTF">2026-07-15T13:38:18Z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