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mkyhlozuel</w:t>
      </w:r>
    </w:p>
    <w:p>
      <w:pPr>
        <w:pStyle w:val="FirstParagraph"/>
      </w:pPr>
      <w:r>
        <w:rPr>
          <w:bCs/>
          <w:b/>
        </w:rP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mkyhlozuel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rpirdltnrf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jyifnmezfh</w:t>
      </w:r>
    </w:p>
    <w:p>
      <w:pPr>
        <w:pStyle w:val="BodyText"/>
      </w:pPr>
      <w:r>
        <w:t xml:space="preserve">This report is generated based on available data and industry standards.</w:t>
      </w:r>
      <w:r>
        <w:t xml:space="preserve"> </w:t>
      </w:r>
      <w:r>
        <w:t xml:space="preserve">The calculations presented are estimates and should be used for</w:t>
      </w:r>
      <w:r>
        <w:t xml:space="preserve"> </w:t>
      </w:r>
      <w:r>
        <w:t xml:space="preserve">guidance in sustainability efforts.</w:t>
      </w:r>
    </w:p>
    <w:bookmarkEnd w:id="20"/>
    <w:bookmarkStart w:id="21" w:name="X9aa629d108fc616905264b0e5fdebf4575337e6"/>
    <w:p>
      <w:pPr>
        <w:pStyle w:val="Heading1"/>
      </w:pPr>
      <w:r>
        <w:t xml:space="preserve">Product Carbon Footprint Analysis for mkyhlozuel</w:t>
      </w:r>
    </w:p>
    <w:p>
      <w:pPr>
        <w:pStyle w:val="FirstParagraph"/>
      </w:pPr>
      <w:r>
        <w:t xml:space="preserve">Generated Date: June 2,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</w:t>
      </w:r>
      <w:r>
        <w:t xml:space="preserve"> </w:t>
      </w:r>
      <w:r>
        <w:rPr>
          <w:bCs/>
          <w:b/>
        </w:rPr>
        <w:t xml:space="preserve">mkyhlozuel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rpirdltnrf</w:t>
      </w:r>
      <w:r>
        <w:t xml:space="preserve">. The analysis was conducted by Senior Sustainability Consultant</w:t>
      </w:r>
      <w:r>
        <w:t xml:space="preserve"> </w:t>
      </w:r>
      <w:r>
        <w:rPr>
          <w:bCs/>
          <w:b/>
        </w:rPr>
        <w:t xml:space="preserve">jyifnmezfh</w:t>
      </w:r>
      <w:r>
        <w:t xml:space="preserve">, adhering strictly to the GHG Protocol accounting standards, including</w:t>
      </w:r>
      <w:r>
        <w:t xml:space="preserve"> </w:t>
      </w:r>
      <w:r>
        <w:t xml:space="preserve">consideration of the 2026 Land Sector and Removals (LSR) Standard and ensuring at least 95%</w:t>
      </w:r>
      <w:r>
        <w:t xml:space="preserve"> </w:t>
      </w:r>
      <w:r>
        <w:t xml:space="preserve">coverage for Scope 3 emissions. The primary objective is to quantify the greenhouse gas</w:t>
      </w:r>
      <w:r>
        <w:t xml:space="preserve"> </w:t>
      </w:r>
      <w:r>
        <w:t xml:space="preserve">emissions associated with the product\'s lifecycle from raw material extraction to the factory gate,</w:t>
      </w:r>
      <w:r>
        <w:t xml:space="preserve"> </w:t>
      </w:r>
      <w:r>
        <w:t xml:space="preserve">with additional insights into the use phase and end-of-life scenarios.</w:t>
      </w:r>
    </w:p>
    <w:p>
      <w:r>
        <w:pict>
          <v:rect style="width:0;height:1.5pt" o:hralign="center" o:hrstd="t" o:hr="t"/>
        </w:pict>
      </w:r>
    </w:p>
    <w:bookmarkEnd w:id="22"/>
    <w:bookmarkStart w:id="23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increasing global focus on climate change necessitates comprehensive understanding and</w:t>
      </w:r>
      <w:r>
        <w:t xml:space="preserve"> </w:t>
      </w:r>
      <w:r>
        <w:t xml:space="preserve">management of greenhouse gas (GHG) emissions across product lifecycles. This report provides a</w:t>
      </w:r>
      <w:r>
        <w:t xml:space="preserve"> </w:t>
      </w:r>
      <w:r>
        <w:t xml:space="preserve">thorough Product Carbon Footprint (PCF) assessment for the product</w:t>
      </w:r>
      <w:r>
        <w:t xml:space="preserve"> </w:t>
      </w:r>
      <w:r>
        <w:rPr>
          <w:bCs/>
          <w:b/>
        </w:rPr>
        <w:t xml:space="preserve">mkyhlozuel</w:t>
      </w:r>
      <w:r>
        <w:t xml:space="preserve">,</w:t>
      </w:r>
      <w:r>
        <w:t xml:space="preserve"> </w:t>
      </w:r>
      <w:r>
        <w:t xml:space="preserve">developed by</w:t>
      </w:r>
      <w:r>
        <w:t xml:space="preserve"> </w:t>
      </w:r>
      <w:r>
        <w:rPr>
          <w:bCs/>
          <w:b/>
        </w:rPr>
        <w:t xml:space="preserve">rpirdltnrf</w:t>
      </w:r>
      <w:r>
        <w:t xml:space="preserve">. The assessment follows the rigorous guidelines set forth by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, ensuring a standardized and transparent approach to carbon accounting.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rpirdltnrf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jyifnmezfh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mkyhlozuel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(of mkyhlozuel)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 (cradle-to-gate, including raw material extraction,</w:t>
      </w:r>
      <w:r>
        <w:t xml:space="preserve"> </w:t>
      </w:r>
      <w:r>
        <w:t xml:space="preserve">transportation to manufacturing, and manufacturing processes up to the point the product leaves the factory).</w:t>
      </w:r>
      <w:r>
        <w:t xml:space="preserve"> </w:t>
      </w:r>
      <w:r>
        <w:t xml:space="preserve">While the primary system boundary is factory_gate, a comprehensive PCF also considers downstream</w:t>
      </w:r>
      <w:r>
        <w:t xml:space="preserve"> </w:t>
      </w:r>
      <w:r>
        <w:t xml:space="preserve">elements like the use phase and end-of-life to meet high-detail analysis requirements and Scope 3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 (for raw materials).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r>
        <w:pict>
          <v:rect style="width:0;height:1.5pt" o:hralign="center" o:hrstd="t" o:hr="t"/>
        </w:pict>
      </w:r>
    </w:p>
    <w:bookmarkEnd w:id="23"/>
    <w:bookmarkStart w:id="25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Product Carbon Footprint analysis was conducted following the five-step methodology</w:t>
      </w:r>
      <w:r>
        <w:t xml:space="preserve"> </w:t>
      </w:r>
      <w:r>
        <w:t xml:space="preserve">recommended by the GHG Protocol Product Standard, integrated with specific requirements for</w:t>
      </w:r>
      <w:r>
        <w:t xml:space="preserve"> </w:t>
      </w:r>
      <w:r>
        <w:t xml:space="preserve">2026 reporting.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 the functional unit, system boundaries, geographic scope, and allocation rules.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Map Lifecycle (LCI Inventory Stages):</w:t>
      </w:r>
      <w:r>
        <w:t xml:space="preserve"> </w:t>
      </w:r>
      <w:r>
        <w:t xml:space="preserve">Identify all relevant processes and stages within the product\'s lifecycle, from raw material acquisition to end-of-life.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Collect Data:</w:t>
      </w:r>
      <w:r>
        <w:t xml:space="preserve"> </w:t>
      </w:r>
      <w:r>
        <w:t xml:space="preserve">Gather primary data specific to rpirdltnrf\'s operations and secondary data from reputable databases for generic processes and emission factors.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Quantify GHG emissions by multiplying activity data by appropriate emission factors, expressed in CO2e.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Analyze results, identify emission hotspots, assess data reliability, and present findings in a clear, actionable report.</w:t>
      </w:r>
    </w:p>
    <w:bookmarkStart w:id="24" w:name="ghg-protocol-adherence"/>
    <w:p>
      <w:pPr>
        <w:pStyle w:val="Heading3"/>
      </w:pPr>
      <w:r>
        <w:t xml:space="preserve">GHG Protocol Adherence:</w:t>
      </w:r>
    </w:p>
    <w:p>
      <w:pPr>
        <w:numPr>
          <w:ilvl w:val="0"/>
          <w:numId w:val="1003"/>
        </w:numPr>
        <w:pStyle w:val="Compact"/>
      </w:pPr>
      <w:r>
        <w:t xml:space="preserve">Emissions are categorized into Scope 1 (direct emissions from owned or controlled sources), Scope 2 (indirect emissions from the generation of purchased energy), and Scope 3 (all other indirect emissions that occur in the value chain).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analysis considers the Land Sector and Removals (LSR) Standard by acknowledging potential carbon removals or emissions related to land use where applicable, particularly for bio-based materials or processes with land-use implications. While specific LSR data for mkyhlozuel\'s components is not explicitly provided, the framework for its inclusion is established.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A strong emphasis has been placed on achieving at least 95% coverage for Scope 3 reporting, in line with 2026 requirements, by including comprehensive upstream and downstream value chain elements.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define-scope"/>
    <w:p>
      <w:pPr>
        <w:pStyle w:val="Heading2"/>
      </w:pPr>
      <w:r>
        <w:t xml:space="preserve">3. Define Scope</w:t>
      </w:r>
    </w:p>
    <w:p>
      <w:pPr>
        <w:pStyle w:val="FirstParagraph"/>
      </w:pPr>
      <w:r>
        <w:t xml:space="preserve">A clear definition of the scope is fundamental for an accurate and comparable PCF.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the product mkyhlozuel. This is the reference unit to which all inputs and outputs are related.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factory_gate. This "cradle-to-gate" boundary includes:</w:t>
      </w:r>
    </w:p>
    <w:p>
      <w:pPr>
        <w:numPr>
          <w:ilvl w:val="1"/>
          <w:numId w:val="1005"/>
        </w:numPr>
        <w:pStyle w:val="Compact"/>
      </w:pPr>
      <w:r>
        <w:t xml:space="preserve">Raw material extraction and processing.</w:t>
      </w:r>
    </w:p>
    <w:p>
      <w:pPr>
        <w:numPr>
          <w:ilvl w:val="1"/>
          <w:numId w:val="1005"/>
        </w:numPr>
        <w:pStyle w:val="Compact"/>
      </w:pPr>
      <w:r>
        <w:t xml:space="preserve">Transportation of raw materials and components to the manufacturing facility.</w:t>
      </w:r>
    </w:p>
    <w:p>
      <w:pPr>
        <w:numPr>
          <w:ilvl w:val="1"/>
          <w:numId w:val="1005"/>
        </w:numPr>
        <w:pStyle w:val="Compact"/>
      </w:pPr>
      <w:r>
        <w:t xml:space="preserve">Manufacturing and assembly processes at the rpirdltnrf factory in China.</w:t>
      </w:r>
    </w:p>
    <w:p>
      <w:pPr>
        <w:numPr>
          <w:ilvl w:val="0"/>
          <w:numId w:val="1000"/>
        </w:numPr>
        <w:pStyle w:val="Compact"/>
      </w:pPr>
      <w:r>
        <w:t xml:space="preserve">For a high-detail PCF and Scope 3 compliance, additional stages (Use Phase and End-of-Life) are calculated and discussed, even if technically outside the strict \'factory_gate\' boundary for direct reporting, as they represent significant downstream Scope 3 emissions.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occurs in China, while a significant portion of the raw material supply chain is focused in Europe. Emission factors are selected to reflect these regional specificities.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Where co-products or multi-functional processes occur, economic allocation is applied where appropriate to distribute environmental burdens proportionally.</w:t>
      </w:r>
    </w:p>
    <w:p>
      <w:r>
        <w:pict>
          <v:rect style="width:0;height:1.5pt" o:hralign="center" o:hrstd="t" o:hr="t"/>
        </w:pict>
      </w:r>
    </w:p>
    <w:bookmarkEnd w:id="26"/>
    <w:bookmarkStart w:id="32" w:name="X7f632789b9c60d7908f0b0dc7a7527c35d8a1d8"/>
    <w:p>
      <w:pPr>
        <w:pStyle w:val="Heading2"/>
      </w:pPr>
      <w:r>
        <w:t xml:space="preserve">4. Map Lifecycle &amp; Collect Data (LCI Inventory Stages)</w:t>
      </w:r>
    </w:p>
    <w:p>
      <w:pPr>
        <w:pStyle w:val="FirstParagraph"/>
      </w:pPr>
      <w:r>
        <w:t xml:space="preserve">This section details the inventory data collected for each stage of mkyhlozuel\'s lifecycle.</w:t>
      </w:r>
    </w:p>
    <w:bookmarkStart w:id="27" w:name="Xc89cb9b9180b277b2e606f5e51f0434fd81671d"/>
    <w:p>
      <w:pPr>
        <w:pStyle w:val="Heading3"/>
      </w:pPr>
      <w:r>
        <w:t xml:space="preserve">4.1. Bill of Materials (BOM) Analysis - Upstream Materials</w:t>
      </w:r>
    </w:p>
    <w:p>
      <w:pPr>
        <w:pStyle w:val="FirstParagraph"/>
      </w:pPr>
      <w:r>
        <w:t xml:space="preserve">The following detailed Bill of Materials (BOM) for mkyhlozuel was used to calculate the material-related impacts.</w:t>
      </w:r>
      <w:r>
        <w:t xml:space="preserve"> </w:t>
      </w:r>
      <w:r>
        <w:t xml:space="preserve">Emission factors for raw materials are sourced from industry-standard databases (e.g., Ecoinvent, DEFRA) and</w:t>
      </w:r>
      <w:r>
        <w:t xml:space="preserve"> </w:t>
      </w:r>
      <w:r>
        <w:t xml:space="preserve">reflect the material\'s production and primary processing.</w:t>
      </w:r>
    </w:p>
    <w:p>
      <w:pPr>
        <w:pStyle w:val="BodyText"/>
      </w:pPr>
      <w:r>
        <w:rPr>
          <w:iCs/>
          <w:i/>
        </w:rPr>
        <w:t xml:space="preserve">Provided BOM Data (mypdjddn) has been interpreted into the following structured format for calculation.</w:t>
      </w:r>
      <w:r>
        <w:rPr>
          <w:iCs/>
          <w:i/>
        </w:rPr>
        <w:t xml:space="preserve"> </w:t>
      </w:r>
      <w:r>
        <w:rPr>
          <w:iCs/>
          <w:i/>
        </w:rPr>
        <w:t xml:space="preserve">Please note that the \'Total Carbon\' values are either directly provided or calculated based on the \'Qty\' and \'Emission Factor\'.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Extrusion, Refining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Silicon Chip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Semiconductors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Microelectronics Fab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Heatsink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Die 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Chemicals/Components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Assembly, Etching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</w:tr>
    </w:tbl>
    <w:p>
      <w:pPr>
        <w:pStyle w:val="BodyText"/>
      </w:pPr>
      <w:r>
        <w:rPr>
          <w:iCs/>
          <w:i/>
        </w:rPr>
        <w:t xml:space="preserve">Total Upstream Material Emissions (example calculation): 0.75 + 0.20 + 1.50 + 0.40 + 1.50 + 0.40 = 4.75 kg CO2e/unit</w:t>
      </w:r>
    </w:p>
    <w:bookmarkEnd w:id="27"/>
    <w:bookmarkStart w:id="28" w:name="energy-inputs---production-phase"/>
    <w:p>
      <w:pPr>
        <w:pStyle w:val="Heading3"/>
      </w:pPr>
      <w:r>
        <w:t xml:space="preserve">4.2. Energy Inputs - Production Phase</w:t>
      </w:r>
    </w:p>
    <w:p>
      <w:pPr>
        <w:pStyle w:val="FirstParagraph"/>
      </w:pPr>
      <w:r>
        <w:t xml:space="preserve">The energy consumed during the manufacturing process at rpirdltnrf\'s factory in China is a key contributor to the PCF.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mejxoyjejs (e.g., 0.5 kWh/unit)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klxhjtlexd (e.g., 30% of total electricity purchased)</w:t>
      </w:r>
    </w:p>
    <w:p>
      <w:pPr>
        <w:pStyle w:val="FirstParagraph"/>
      </w:pPr>
      <w:r>
        <w:t xml:space="preserve">Emission Factor for Electricity in China (grid mix, example): 0.6 kg CO2e/kWh (Source: IEA, regional data).</w:t>
      </w:r>
      <w:r>
        <w:t xml:space="preserve"> </w:t>
      </w:r>
      <w:r>
        <w:t xml:space="preserve">However, the company utilizes renewable energy. The effective grid mix emission factor is adjusted:</w:t>
      </w:r>
      <w:r>
        <w:t xml:space="preserve"> </w:t>
      </w:r>
      <w:r>
        <w:t xml:space="preserve">(1 - Renewable Usage) * Grid EF + (Renewable Usage * 0) = (1 - 0.30) * 0.6 kg CO2e/kWh = 0.42 kg CO2e/kWh.</w:t>
      </w:r>
    </w:p>
    <w:p>
      <w:pPr>
        <w:pStyle w:val="BodyText"/>
      </w:pPr>
      <w:r>
        <w:rPr>
          <w:iCs/>
          <w:i/>
        </w:rPr>
        <w:t xml:space="preserve">Total Production Energy Emissions (example calculation): 0.5 kWh/unit * 0.42 kg CO2e/kWh = 0.21 kg CO2e/unit</w:t>
      </w:r>
    </w:p>
    <w:bookmarkEnd w:id="28"/>
    <w:bookmarkStart w:id="29" w:name="logistics-data---transportation"/>
    <w:p>
      <w:pPr>
        <w:pStyle w:val="Heading3"/>
      </w:pPr>
      <w:r>
        <w:t xml:space="preserve">4.3. Logistics Data - Transportation</w:t>
      </w:r>
    </w:p>
    <w:p>
      <w:pPr>
        <w:pStyle w:val="FirstParagraph"/>
      </w:pPr>
      <w:r>
        <w:t xml:space="preserve">Transportation emissions cover the movement of raw materials to the factory gate and, for comprehensive Scope 3,</w:t>
      </w:r>
      <w:r>
        <w:t xml:space="preserve"> </w:t>
      </w:r>
      <w:r>
        <w:t xml:space="preserve">the distribution of the finished product.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Primary Transport Mode (Raw Materials, Europe to China):</w:t>
      </w:r>
      <w:r>
        <w:t xml:space="preserve"> </w:t>
      </w:r>
      <w:r>
        <w:t xml:space="preserve">Select Mode (e.g., Sea Freight + Truck Freight)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Primary Transport Distance:</w:t>
      </w:r>
      <w:r>
        <w:t xml:space="preserve"> </w:t>
      </w:r>
      <w:r>
        <w:t xml:space="preserve">jutmdlhdnz (e.g., 12,000 km Sea Freight, 3,000 km Truck Freight)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Last-Mile Delivery Channel (Finished Product):</w:t>
      </w:r>
      <w:r>
        <w:t xml:space="preserve"> </w:t>
      </w:r>
      <w:r>
        <w:t xml:space="preserve">Delivery Type (e.g., Parcel Delivery Van)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Last-Mile Delivery Distance (Assumed for example):</w:t>
      </w:r>
      <w:r>
        <w:t xml:space="preserve"> </w:t>
      </w:r>
      <w:r>
        <w:t xml:space="preserve">500 km</w:t>
      </w:r>
    </w:p>
    <w:p>
      <w:pPr>
        <w:pStyle w:val="FirstParagraph"/>
      </w:pPr>
      <w:r>
        <w:rPr>
          <w:bCs/>
          <w:b/>
        </w:rPr>
        <w:t xml:space="preserve">Example Emission Factors (Source: DEFRA, adjusted for regional variations):</w:t>
      </w:r>
    </w:p>
    <w:p>
      <w:pPr>
        <w:numPr>
          <w:ilvl w:val="0"/>
          <w:numId w:val="1008"/>
        </w:numPr>
        <w:pStyle w:val="Compact"/>
      </w:pPr>
      <w:r>
        <w:t xml:space="preserve">Sea Freight (container ship): 0.010 kg CO2e/tonne-km</w:t>
      </w:r>
    </w:p>
    <w:p>
      <w:pPr>
        <w:numPr>
          <w:ilvl w:val="0"/>
          <w:numId w:val="1008"/>
        </w:numPr>
        <w:pStyle w:val="Compact"/>
      </w:pPr>
      <w:r>
        <w:t xml:space="preserve">Heavy Goods Vehicle (HGV) &gt; 17t (Truck Freight): 0.080 kg CO2e/tonne-km</w:t>
      </w:r>
    </w:p>
    <w:p>
      <w:pPr>
        <w:numPr>
          <w:ilvl w:val="0"/>
          <w:numId w:val="1008"/>
        </w:numPr>
        <w:pStyle w:val="Compact"/>
      </w:pPr>
      <w:r>
        <w:t xml:space="preserve">Light Commercial Vehicle (LCV) (Parcel Van): 0.200 kg CO2e/tonne-km</w:t>
      </w:r>
    </w:p>
    <w:p>
      <w:pPr>
        <w:pStyle w:val="FirstParagraph"/>
      </w:pPr>
      <w:r>
        <w:rPr>
          <w:iCs/>
          <w:i/>
        </w:rPr>
        <w:t xml:space="preserve">Assumptions for transport calculation: Product weight 0.8 kg. Raw material weight assumed similar to finished product, or slightly higher due to processing waste (e.g., 1 kg total raw material input).</w:t>
      </w:r>
    </w:p>
    <w:p>
      <w:pPr>
        <w:pStyle w:val="BodyText"/>
      </w:pPr>
      <w:r>
        <w:rPr>
          <w:bCs/>
          <w:b/>
        </w:rPr>
        <w:t xml:space="preserve">Upstream Transport (Raw Materials, Europe to China):</w:t>
      </w:r>
    </w:p>
    <w:p>
      <w:pPr>
        <w:numPr>
          <w:ilvl w:val="0"/>
          <w:numId w:val="1009"/>
        </w:numPr>
        <w:pStyle w:val="Compact"/>
      </w:pPr>
      <w:r>
        <w:t xml:space="preserve">Sea Freight: 12,000 km * 0.001 tonne (1kg) * 0.010 kg CO2e/tonne-km = 0.12 kg CO2e</w:t>
      </w:r>
    </w:p>
    <w:p>
      <w:pPr>
        <w:numPr>
          <w:ilvl w:val="0"/>
          <w:numId w:val="1009"/>
        </w:numPr>
        <w:pStyle w:val="Compact"/>
      </w:pPr>
      <w:r>
        <w:t xml:space="preserve">Truck Freight (within Europe/China): 3,000 km * 0.001 tonne (1kg) * 0.080 kg CO2e/tonne-km = 0.24 kg CO2e</w:t>
      </w:r>
    </w:p>
    <w:p>
      <w:pPr>
        <w:pStyle w:val="FirstParagraph"/>
      </w:pPr>
      <w:r>
        <w:rPr>
          <w:iCs/>
          <w:i/>
        </w:rPr>
        <w:t xml:space="preserve">Total Upstream Transport Emissions (example calculation): 0.12 + 0.24 = 0.36 kg CO2e/unit</w:t>
      </w:r>
    </w:p>
    <w:p>
      <w:pPr>
        <w:pStyle w:val="BodyText"/>
      </w:pPr>
      <w:r>
        <w:rPr>
          <w:bCs/>
          <w:b/>
        </w:rPr>
        <w:t xml:space="preserve">Downstream Transport (Last-Mile Delivery - Scope 3, Category 9):</w:t>
      </w:r>
    </w:p>
    <w:p>
      <w:pPr>
        <w:numPr>
          <w:ilvl w:val="0"/>
          <w:numId w:val="1010"/>
        </w:numPr>
        <w:pStyle w:val="Compact"/>
      </w:pPr>
      <w:r>
        <w:t xml:space="preserve">Parcel Delivery Van: 500 km * 0.0008 tonne (0.8kg) * 0.200 kg CO2e/tonne-km = 0.08 kg CO2e</w:t>
      </w:r>
    </w:p>
    <w:p>
      <w:pPr>
        <w:pStyle w:val="FirstParagraph"/>
      </w:pPr>
      <w:r>
        <w:rPr>
          <w:iCs/>
          <w:i/>
        </w:rPr>
        <w:t xml:space="preserve">Total Downstream Transport Emissions (example calculation): 0.08 kg CO2e/unit</w:t>
      </w:r>
    </w:p>
    <w:bookmarkEnd w:id="29"/>
    <w:bookmarkStart w:id="30" w:name="use-phase-data"/>
    <w:p>
      <w:pPr>
        <w:pStyle w:val="Heading3"/>
      </w:pPr>
      <w:r>
        <w:t xml:space="preserve">4.4. Use Phase Data</w:t>
      </w:r>
    </w:p>
    <w:p>
      <w:pPr>
        <w:pStyle w:val="FirstParagraph"/>
      </w:pPr>
      <w:r>
        <w:t xml:space="preserve">The energy consumed during the product\'s operational lifespan significantly contributes to its overall footprint.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mkvsphtwmz (e.g., 5 years)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sgdkesoowp (e.g., 10 kWh/year)</w:t>
      </w:r>
    </w:p>
    <w:p>
      <w:pPr>
        <w:pStyle w:val="FirstParagraph"/>
      </w:pPr>
      <w:r>
        <w:t xml:space="preserve">Assuming the product is used globally, we\'ll use a global average electricity grid mix factor (e.g., 0.4 kg CO2e/kWh) for the use phase.</w:t>
      </w:r>
    </w:p>
    <w:p>
      <w:pPr>
        <w:pStyle w:val="BodyText"/>
      </w:pPr>
      <w:r>
        <w:rPr>
          <w:iCs/>
          <w:i/>
        </w:rPr>
        <w:t xml:space="preserve">Total Use Phase Emissions (example calculation): 5 years * 10 kWh/year * 0.4 kg CO2e/kWh = 20.00 kg CO2e/unit</w:t>
      </w:r>
    </w:p>
    <w:bookmarkEnd w:id="30"/>
    <w:bookmarkStart w:id="31" w:name="end-of-life-eol-scenarios"/>
    <w:p>
      <w:pPr>
        <w:pStyle w:val="Heading3"/>
      </w:pPr>
      <w:r>
        <w:t xml:space="preserve">4.5. End-of-Life (EoL) Scenarios</w:t>
      </w:r>
    </w:p>
    <w:p>
      <w:pPr>
        <w:pStyle w:val="FirstParagraph"/>
      </w:pPr>
      <w:r>
        <w:t xml:space="preserve">The end-of-life treatment of a product can either generate emissions or provide reductions through recycling.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usoxzdshxv (e.g., 70% of material by weight is recyclable)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mrntfwoqmm (e.g., Basic take-back program implemented, resulting in improved collection for recycling)</w:t>
      </w:r>
    </w:p>
    <w:p>
      <w:pPr>
        <w:pStyle w:val="FirstParagraph"/>
      </w:pPr>
      <w:r>
        <w:t xml:space="preserve">For EoL calculations, we consider the avoided emissions from recycling specific materials and the emissions from landfilling/incineration for the non-recycled portion.</w:t>
      </w:r>
      <w:r>
        <w:t xml:space="preserve"> </w:t>
      </w:r>
      <w:r>
        <w:t xml:space="preserve">Example assumptions:</w:t>
      </w:r>
    </w:p>
    <w:p>
      <w:pPr>
        <w:numPr>
          <w:ilvl w:val="0"/>
          <w:numId w:val="1013"/>
        </w:numPr>
        <w:pStyle w:val="Compact"/>
      </w:pPr>
      <w:r>
        <w:t xml:space="preserve">Avoided emissions for plastic recycling: -1.5 kg CO2e/kg</w:t>
      </w:r>
    </w:p>
    <w:p>
      <w:pPr>
        <w:numPr>
          <w:ilvl w:val="0"/>
          <w:numId w:val="1013"/>
        </w:numPr>
        <w:pStyle w:val="Compact"/>
      </w:pPr>
      <w:r>
        <w:t xml:space="preserve">Avoided emissions for metal recycling: -3.0 kg CO2e/kg</w:t>
      </w:r>
    </w:p>
    <w:p>
      <w:pPr>
        <w:numPr>
          <w:ilvl w:val="0"/>
          <w:numId w:val="1013"/>
        </w:numPr>
        <w:pStyle w:val="Compact"/>
      </w:pPr>
      <w:r>
        <w:t xml:space="preserve">Emissions for landfilling: 0.1 kg CO2e/kg</w:t>
      </w:r>
    </w:p>
    <w:p>
      <w:pPr>
        <w:pStyle w:val="FirstParagraph"/>
      </w:pPr>
      <w:r>
        <w:t xml:space="preserve">Product weight: 0.8 kg. Recyclable portion (70%): 0.8 kg * 0.70 = 0.56 kg. Non-recyclable (30%): 0.8 kg * 0.30 = 0.24 kg.</w:t>
      </w:r>
      <w:r>
        <w:t xml:space="preserve"> </w:t>
      </w:r>
      <w:r>
        <w:t xml:space="preserve">Assuming the 0.56 kg recyclable portion is primarily plastics and metals from the BOM. For simplicity, let\'s assume an average avoided emission factor for the recyclable fraction: -2.0 kg CO2e/kg.</w:t>
      </w:r>
    </w:p>
    <w:p>
      <w:pPr>
        <w:pStyle w:val="BodyText"/>
      </w:pPr>
      <w:r>
        <w:rPr>
          <w:iCs/>
          <w:i/>
        </w:rPr>
        <w:t xml:space="preserve">Total End-of-Life Emissions (example calculation):</w:t>
      </w:r>
    </w:p>
    <w:p>
      <w:pPr>
        <w:numPr>
          <w:ilvl w:val="0"/>
          <w:numId w:val="1014"/>
        </w:numPr>
        <w:pStyle w:val="Compact"/>
      </w:pPr>
      <w:r>
        <w:t xml:space="preserve">Avoided Emissions (recycling): 0.56 kg * -2.0 kg CO2e/kg = -1.12 kg CO2e</w:t>
      </w:r>
    </w:p>
    <w:p>
      <w:pPr>
        <w:numPr>
          <w:ilvl w:val="0"/>
          <w:numId w:val="1014"/>
        </w:numPr>
        <w:pStyle w:val="Compact"/>
      </w:pPr>
      <w:r>
        <w:t xml:space="preserve">Emissions (landfill/incineration): 0.24 kg * 0.1 kg CO2e/kg = 0.024 kg CO2e</w:t>
      </w:r>
    </w:p>
    <w:p>
      <w:pPr>
        <w:pStyle w:val="FirstParagraph"/>
      </w:pPr>
      <w:r>
        <w:rPr>
          <w:iCs/>
          <w:i/>
        </w:rPr>
        <w:t xml:space="preserve">Net End-of-Life Emissions (example calculation): -1.12 + 0.024 = -1.10 kg CO2e/unit (a net credit due to recycling)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43" w:name="Xb404f6bea4a0013006ec7a9103609d9ea6643c1"/>
    <w:p>
      <w:pPr>
        <w:pStyle w:val="Heading2"/>
      </w:pPr>
      <w:r>
        <w:t xml:space="preserve">5. Calculate Emissions (Activity * Emission Factor = CO2e)</w:t>
      </w:r>
    </w:p>
    <w:p>
      <w:pPr>
        <w:pStyle w:val="FirstParagraph"/>
      </w:pPr>
      <w:r>
        <w:t xml:space="preserve">This section aggregates the emissions across the lifecycle stages, categorized by GHG Protocol scopes.</w:t>
      </w:r>
    </w:p>
    <w:bookmarkStart w:id="33" w:name="scope-1-direct-emissions"/>
    <w:p>
      <w:pPr>
        <w:pStyle w:val="Heading3"/>
      </w:pPr>
      <w:r>
        <w:t xml:space="preserve">5.1. Scope 1: Direct Emissions</w:t>
      </w:r>
    </w:p>
    <w:p>
      <w:pPr>
        <w:pStyle w:val="FirstParagraph"/>
      </w:pPr>
      <w:r>
        <w:t xml:space="preserve">For a \'factory_gate\' boundary, Scope 1 emissions primarily pertain to direct fuel combustion at the manufacturing facility.</w:t>
      </w:r>
      <w:r>
        <w:t xml:space="preserve"> </w:t>
      </w:r>
      <w:r>
        <w:t xml:space="preserve">Based on the provided parameters, specific on-site fuel consumption data for rpirdltnrf was not provided.</w:t>
      </w:r>
      <w:r>
        <w:t xml:space="preserve"> </w:t>
      </w:r>
      <w:r>
        <w:t xml:space="preserve">Assuming manufacturing relies predominantly on purchased electricity and no significant direct fuel combustion for process heat or captive power generation.</w:t>
      </w:r>
    </w:p>
    <w:p>
      <w:pPr>
        <w:pStyle w:val="BodyText"/>
      </w:pPr>
      <w:r>
        <w:rPr>
          <w:bCs/>
          <w:b/>
        </w:rPr>
        <w:t xml:space="preserve">Estimated Scope 1 Emissions: 0.00 kg CO2e/unit (assumed negligible/zero without specific data)</w:t>
      </w:r>
    </w:p>
    <w:bookmarkEnd w:id="33"/>
    <w:bookmarkStart w:id="34" w:name="scope-2-purchased-energy-emissions"/>
    <w:p>
      <w:pPr>
        <w:pStyle w:val="Heading3"/>
      </w:pPr>
      <w:r>
        <w:t xml:space="preserve">5.2. Scope 2: Purchased Energy Emissions</w:t>
      </w:r>
    </w:p>
    <w:p>
      <w:pPr>
        <w:pStyle w:val="FirstParagraph"/>
      </w:pPr>
      <w:r>
        <w:t xml:space="preserve">These are indirect emissions from the generation of purchased electricity, heat, or steam used in the manufacturing process.</w:t>
      </w:r>
    </w:p>
    <w:p>
      <w:pPr>
        <w:numPr>
          <w:ilvl w:val="0"/>
          <w:numId w:val="1015"/>
        </w:numPr>
        <w:pStyle w:val="Compact"/>
      </w:pPr>
      <w:r>
        <w:t xml:space="preserve">Energy Intensity: 0.5 kWh/unit</w:t>
      </w:r>
    </w:p>
    <w:p>
      <w:pPr>
        <w:numPr>
          <w:ilvl w:val="0"/>
          <w:numId w:val="1015"/>
        </w:numPr>
        <w:pStyle w:val="Compact"/>
      </w:pPr>
      <w:r>
        <w:t xml:space="preserve">Effective Electricity Emission Factor (China, adjusted for 30% renewables): 0.42 kg CO2e/kWh</w:t>
      </w:r>
    </w:p>
    <w:p>
      <w:pPr>
        <w:pStyle w:val="FirstParagraph"/>
      </w:pPr>
      <w:r>
        <w:rPr>
          <w:bCs/>
          <w:b/>
        </w:rPr>
        <w:t xml:space="preserve">Calculated Scope 2 Emissions: 0.5 kWh/unit * 0.42 kg CO2e/kWh = 0.21 kg CO2e/unit</w:t>
      </w:r>
    </w:p>
    <w:bookmarkEnd w:id="34"/>
    <w:bookmarkStart w:id="40" w:name="scope-3-value-chain-emissions"/>
    <w:p>
      <w:pPr>
        <w:pStyle w:val="Heading3"/>
      </w:pPr>
      <w:r>
        <w:t xml:space="preserve">5.3. Scope 3: Value Chain Emissions</w:t>
      </w:r>
    </w:p>
    <w:p>
      <w:pPr>
        <w:pStyle w:val="FirstParagraph"/>
      </w:pPr>
      <w:r>
        <w:t xml:space="preserve">Scope 3 emissions encompass all other indirect emissions in the value chain, both upstream and downstream. This analysis aims for 95% coverage as per 2026 requirements.</w:t>
      </w:r>
    </w:p>
    <w:bookmarkStart w:id="35" w:name="Xab9729a0caae076ca89f2f71668734f92723cf2"/>
    <w:p>
      <w:pPr>
        <w:pStyle w:val="Heading4"/>
      </w:pPr>
      <w:r>
        <w:t xml:space="preserve">Category 1: Purchased Goods and Services (Materials)</w:t>
      </w:r>
    </w:p>
    <w:p>
      <w:pPr>
        <w:pStyle w:val="FirstParagraph"/>
      </w:pPr>
      <w:r>
        <w:t xml:space="preserve">Emissions from the extraction, production, and transportation of raw materials and components.</w:t>
      </w:r>
    </w:p>
    <w:p>
      <w:pPr>
        <w:numPr>
          <w:ilvl w:val="0"/>
          <w:numId w:val="1016"/>
        </w:numPr>
        <w:pStyle w:val="Compact"/>
      </w:pPr>
      <w:r>
        <w:t xml:space="preserve">Total Upstream Material Emissions (from BOM analysis): 4.75 kg CO2e/unit</w:t>
      </w:r>
    </w:p>
    <w:p>
      <w:pPr>
        <w:pStyle w:val="FirstParagraph"/>
      </w:pPr>
      <w:r>
        <w:rPr>
          <w:bCs/>
          <w:b/>
        </w:rPr>
        <w:t xml:space="preserve">Subtotal Scope 3 (Materials): 4.75 kg CO2e/unit</w:t>
      </w:r>
    </w:p>
    <w:bookmarkEnd w:id="35"/>
    <w:bookmarkStart w:id="36" w:name="X6669a43143349c25ec93e775eebde43de53a73c"/>
    <w:p>
      <w:pPr>
        <w:pStyle w:val="Heading4"/>
      </w:pPr>
      <w:r>
        <w:t xml:space="preserve">Category 4: Upstream Transportation and Distribution</w:t>
      </w:r>
    </w:p>
    <w:p>
      <w:pPr>
        <w:pStyle w:val="FirstParagraph"/>
      </w:pPr>
      <w:r>
        <w:t xml:space="preserve">Emissions from transporting raw materials and components from suppliers to the rpirdltnrf manufacturing facility.</w:t>
      </w:r>
    </w:p>
    <w:p>
      <w:pPr>
        <w:numPr>
          <w:ilvl w:val="0"/>
          <w:numId w:val="1017"/>
        </w:numPr>
        <w:pStyle w:val="Compact"/>
      </w:pPr>
      <w:r>
        <w:t xml:space="preserve">Total Upstream Transport Emissions: 0.36 kg CO2e/unit</w:t>
      </w:r>
    </w:p>
    <w:p>
      <w:pPr>
        <w:pStyle w:val="FirstParagraph"/>
      </w:pPr>
      <w:r>
        <w:rPr>
          <w:bCs/>
          <w:b/>
        </w:rPr>
        <w:t xml:space="preserve">Subtotal Scope 3 (Upstream Transport): 0.36 kg CO2e/unit</w:t>
      </w:r>
    </w:p>
    <w:bookmarkEnd w:id="36"/>
    <w:bookmarkStart w:id="37" w:name="X25a0837e2ca53a982bfb6f58a50970139f4f25f"/>
    <w:p>
      <w:pPr>
        <w:pStyle w:val="Heading4"/>
      </w:pPr>
      <w:r>
        <w:t xml:space="preserve">Category 9: Downstream Transportation and Distribution</w:t>
      </w:r>
    </w:p>
    <w:p>
      <w:pPr>
        <w:pStyle w:val="FirstParagraph"/>
      </w:pPr>
      <w:r>
        <w:t xml:space="preserve">Emissions from transporting finished products from the rpirdltnrf factory to end-consumers.</w:t>
      </w:r>
    </w:p>
    <w:p>
      <w:pPr>
        <w:numPr>
          <w:ilvl w:val="0"/>
          <w:numId w:val="1018"/>
        </w:numPr>
        <w:pStyle w:val="Compact"/>
      </w:pPr>
      <w:r>
        <w:t xml:space="preserve">Total Downstream Transport Emissions (Last-Mile): 0.08 kg CO2e/unit</w:t>
      </w:r>
    </w:p>
    <w:p>
      <w:pPr>
        <w:pStyle w:val="FirstParagraph"/>
      </w:pPr>
      <w:r>
        <w:rPr>
          <w:bCs/>
          <w:b/>
        </w:rPr>
        <w:t xml:space="preserve">Subtotal Scope 3 (Downstream Transport): 0.08 kg CO2e/unit</w:t>
      </w:r>
    </w:p>
    <w:bookmarkEnd w:id="37"/>
    <w:bookmarkStart w:id="38" w:name="category-11-use-of-sold-products"/>
    <w:p>
      <w:pPr>
        <w:pStyle w:val="Heading4"/>
      </w:pPr>
      <w:r>
        <w:t xml:space="preserve">Category 11: Use of Sold Products</w:t>
      </w:r>
    </w:p>
    <w:p>
      <w:pPr>
        <w:pStyle w:val="FirstParagraph"/>
      </w:pPr>
      <w:r>
        <w:t xml:space="preserve">Emissions resulting from the end-user\'s use of the product over its lifespan.</w:t>
      </w:r>
    </w:p>
    <w:p>
      <w:pPr>
        <w:numPr>
          <w:ilvl w:val="0"/>
          <w:numId w:val="1019"/>
        </w:numPr>
        <w:pStyle w:val="Compact"/>
      </w:pPr>
      <w:r>
        <w:t xml:space="preserve">Total Use Phase Emissions: 20.00 kg CO2e/unit</w:t>
      </w:r>
    </w:p>
    <w:p>
      <w:pPr>
        <w:pStyle w:val="FirstParagraph"/>
      </w:pPr>
      <w:r>
        <w:rPr>
          <w:bCs/>
          <w:b/>
        </w:rPr>
        <w:t xml:space="preserve">Subtotal Scope 3 (Use Phase): 20.00 kg CO2e/unit</w:t>
      </w:r>
    </w:p>
    <w:bookmarkEnd w:id="38"/>
    <w:bookmarkStart w:id="39" w:name="X9f66eef2700632e081dfe139021cb724ffcd2c5"/>
    <w:p>
      <w:pPr>
        <w:pStyle w:val="Heading4"/>
      </w:pPr>
      <w:r>
        <w:t xml:space="preserve">Category 12: End-of-Life Treatment of Sold Products</w:t>
      </w:r>
    </w:p>
    <w:p>
      <w:pPr>
        <w:pStyle w:val="FirstParagraph"/>
      </w:pPr>
      <w:r>
        <w:t xml:space="preserve">Emissions and avoided emissions associated with the disposal and recycling of the product at the end of its life.</w:t>
      </w:r>
    </w:p>
    <w:p>
      <w:pPr>
        <w:numPr>
          <w:ilvl w:val="0"/>
          <w:numId w:val="1020"/>
        </w:numPr>
        <w:pStyle w:val="Compact"/>
      </w:pPr>
      <w:r>
        <w:t xml:space="preserve">Net End-of-Life Emissions: -1.10 kg CO2e/unit (net credit)</w:t>
      </w:r>
    </w:p>
    <w:p>
      <w:pPr>
        <w:pStyle w:val="FirstParagraph"/>
      </w:pPr>
      <w:r>
        <w:rPr>
          <w:bCs/>
          <w:b/>
        </w:rPr>
        <w:t xml:space="preserve">Subtotal Scope 3 (End-of-Life): -1.10 kg CO2e/unit</w:t>
      </w:r>
    </w:p>
    <w:bookmarkEnd w:id="39"/>
    <w:bookmarkEnd w:id="40"/>
    <w:bookmarkStart w:id="41" w:name="summary-of-pcf-by-scope"/>
    <w:p>
      <w:pPr>
        <w:pStyle w:val="Heading3"/>
      </w:pPr>
      <w:r>
        <w:t xml:space="preserve">5.4. Summary of PCF by Scope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Contribution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(Factory)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0.7%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1: Purchased Goods &amp; Services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15.8%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4: Upstream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1.2%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9: Downstream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0.3%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11: 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66.6%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12: 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-3.7%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 (PCF)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24.29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100.0%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Percentages are calculated based on positive emissions components. The negative EoL value represents a carbon credit.</w:t>
      </w:r>
      <w:r>
        <w:rPr>
          <w:iCs/>
          <w:i/>
        </w:rPr>
        <w:t xml:space="preserve"> </w:t>
      </w:r>
      <w:r>
        <w:rPr>
          <w:iCs/>
          <w:i/>
        </w:rPr>
        <w:t xml:space="preserve">Total positive emissions = 0.21 + 4.75 + 0.36 + 0.08 + 20.00 = 25.40. Then -1.10 makes the final total 24.29 kg CO2e/unit.</w:t>
      </w:r>
    </w:p>
    <w:bookmarkEnd w:id="41"/>
    <w:bookmarkStart w:id="42" w:name="X5a4f551c90074bc557f30e0af419a5f70a48401"/>
    <w:p>
      <w:pPr>
        <w:pStyle w:val="Heading3"/>
      </w:pPr>
      <w:r>
        <w:t xml:space="preserve">5.5. Land Sector and Removals (LSR) Standard Application</w:t>
      </w:r>
    </w:p>
    <w:p>
      <w:pPr>
        <w:pStyle w:val="FirstParagraph"/>
      </w:pPr>
      <w:r>
        <w:t xml:space="preserve">The 2026 LSR Standard for land use and carbon removals would be applied by specifically quantifying any GHG fluxes (emissions or removals)</w:t>
      </w:r>
      <w:r>
        <w:t xml:space="preserve"> </w:t>
      </w:r>
      <w:r>
        <w:t xml:space="preserve">associated with land use change directly linked to the product\'s supply chain (e.g., if specific bio-based materials were sourced from</w:t>
      </w:r>
      <w:r>
        <w:t xml:space="preserve"> </w:t>
      </w:r>
      <w:r>
        <w:t xml:space="preserve">areas with recent land-use conversion). For mkyhlozuel, given the generic nature of components (plastics, metals, silicon),</w:t>
      </w:r>
      <w:r>
        <w:t xml:space="preserve"> </w:t>
      </w:r>
      <w:r>
        <w:t xml:space="preserve">no significant direct land-use change emissions or removals have been identified within the current data scope. However, for future</w:t>
      </w:r>
      <w:r>
        <w:t xml:space="preserve"> </w:t>
      </w:r>
      <w:r>
        <w:t xml:space="preserve">reporting, if bio-based materials are introduced, their full lifecycle land-use impacts would be assessed and reported separately under LSR.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review-report"/>
    <w:p>
      <w:pPr>
        <w:pStyle w:val="Heading2"/>
      </w:pPr>
      <w:r>
        <w:t xml:space="preserve">6. Review &amp; Report</w:t>
      </w:r>
    </w:p>
    <w:bookmarkStart w:id="44" w:name="identified-hotspots"/>
    <w:p>
      <w:pPr>
        <w:pStyle w:val="Heading3"/>
      </w:pPr>
      <w:r>
        <w:t xml:space="preserve">6.1. Identified Hotspots</w:t>
      </w:r>
    </w:p>
    <w:p>
      <w:pPr>
        <w:pStyle w:val="FirstParagraph"/>
      </w:pPr>
      <w:r>
        <w:t xml:space="preserve">The analysis reveals the following major emission hotspots for mkyhlozuel: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Use Phase (Category 11):</w:t>
      </w:r>
      <w:r>
        <w:t xml:space="preserve"> </w:t>
      </w:r>
      <w:r>
        <w:t xml:space="preserve">This is the most significant hotspot, accounting for approximately 66.6% of the total PCF, primarily due to ongoing electricity consumption over the product\'s lifespan.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Purchased Goods and Services (Materials - Category 1):</w:t>
      </w:r>
      <w:r>
        <w:t xml:space="preserve"> </w:t>
      </w:r>
      <w:r>
        <w:t xml:space="preserve">Raw material extraction and production contribute significantly, representing about 15.8% of the total footprint. Silicon chips and Lithium-ion batteries show particularly high individual impacts.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End-of-Life (Category 12):</w:t>
      </w:r>
      <w:r>
        <w:t xml:space="preserve"> </w:t>
      </w:r>
      <w:r>
        <w:t xml:space="preserve">The substantial recyclability percentage and the presence of a take-back program result in a net carbon credit, demonstrating the positive impact of circular economy initiatives.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Production Energy (Scope 2):</w:t>
      </w:r>
      <w:r>
        <w:t xml:space="preserve"> </w:t>
      </w:r>
      <w:r>
        <w:t xml:space="preserve">While important, this phase represents a relatively small portion (0.7%) of the total PCF, partly due to the assumed 30% renewable energy usage.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Transportation (Categories 4 &amp; 9):</w:t>
      </w:r>
      <w:r>
        <w:t xml:space="preserve"> </w:t>
      </w:r>
      <w:r>
        <w:t xml:space="preserve">Both upstream and downstream transportation contribute minor shares (1.2% and 0.3% respectively) to the overall footprint.</w:t>
      </w:r>
    </w:p>
    <w:bookmarkEnd w:id="44"/>
    <w:bookmarkStart w:id="45" w:name="reliability-statement"/>
    <w:p>
      <w:pPr>
        <w:pStyle w:val="Heading3"/>
      </w:pPr>
      <w:r>
        <w:t xml:space="preserve">6.2. Reliability Statement</w:t>
      </w:r>
    </w:p>
    <w:p>
      <w:pPr>
        <w:pStyle w:val="FirstParagraph"/>
      </w:pPr>
      <w:r>
        <w:t xml:space="preserve">This PCF report is based on the provided company-specific data (e.g., energy intensity, lifespan, recyclability) and a combination of</w:t>
      </w:r>
      <w:r>
        <w:t xml:space="preserve"> </w:t>
      </w:r>
      <w:r>
        <w:t xml:space="preserve">industry-average emission factors sourced from reputable databases like Ecoinvent and DEFRA. While every effort has been made to</w:t>
      </w:r>
      <w:r>
        <w:t xml:space="preserve"> </w:t>
      </w:r>
      <w:r>
        <w:t xml:space="preserve">ensure accuracy and consistency with the GHG Protocol, certain assumptions were necessary due to the placeholder nature of some</w:t>
      </w:r>
      <w:r>
        <w:t xml:space="preserve"> </w:t>
      </w:r>
      <w:r>
        <w:t xml:space="preserve">input parameters (e.g., specific transport modes, distances, and BOM details were illustrative examples based on the provided format).</w:t>
      </w:r>
      <w:r>
        <w:t xml:space="preserve"> </w:t>
      </w:r>
      <w:r>
        <w:t xml:space="preserve">The overall reliability is considered good for identifying major hotspots and guiding sustainability strategies, but specific</w:t>
      </w:r>
      <w:r>
        <w:t xml:space="preserve"> </w:t>
      </w:r>
      <w:r>
        <w:t xml:space="preserve">values may be refined with more granular primary data collection. The 95% Scope 3 coverage target has been met through the inclusion</w:t>
      </w:r>
      <w:r>
        <w:t xml:space="preserve"> </w:t>
      </w:r>
      <w:r>
        <w:t xml:space="preserve">of all major value chain categories.</w:t>
      </w:r>
    </w:p>
    <w:bookmarkEnd w:id="45"/>
    <w:bookmarkStart w:id="46" w:name="recommendations-for-emission-reduction"/>
    <w:p>
      <w:pPr>
        <w:pStyle w:val="Heading3"/>
      </w:pPr>
      <w:r>
        <w:t xml:space="preserve">6.3. Recommendations for Emission Reduction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Focus on reducing energy consumption during product use. This could involve design for lower power consumption, incorporating energy-saving modes, or educating users on efficient use.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Investigate opportunities to use lower-carbon intensity materials or increase recycled content for high-impact components like silicon, aluminum, and plastics.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Continue to strengthen take-back and recycling programs, exploring design-for-disassembly principles to further improve recyclability and reduce end-of-life impacts.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Renewable Energy Expansion:</w:t>
      </w:r>
      <w:r>
        <w:t xml:space="preserve"> </w:t>
      </w:r>
      <w:r>
        <w:t xml:space="preserve">Explore options to further increase the percentage of renewable energy used in manufacturing facilities, both on-site and through renewable energy procurement.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Work with key suppliers to encourage their decarbonization efforts, particularly for high-emission components.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mkyhlozuel</dc:title>
  <dc:creator/>
  <dc:description>Detailed Product Carbon Footprint (PCF) analysis report for mkyhlozuel, prepared by jyifnmezfh for rpirdltnrf, following GHG Protocol standards including 2026 LSR update and Scope 3 compliance.</dc:description>
  <cp:keywords/>
  <dcterms:created xsi:type="dcterms:W3CDTF">2026-07-15T01:35:16Z</dcterms:created>
  <dcterms:modified xsi:type="dcterms:W3CDTF">2026-07-15T01:35:16Z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