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mkfyzfiopq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mkfyzfiopq</w:t>
      </w:r>
    </w:p>
    <w:p>
      <w:pPr>
        <w:pStyle w:val="BodyText"/>
      </w:pPr>
      <w:r>
        <w:rPr>
          <w:bCs/>
          <w:b/>
        </w:rPr>
        <w:t xml:space="preserve">Company:</w:t>
      </w:r>
      <w:r>
        <w:t xml:space="preserve"> </w:t>
      </w:r>
      <w:r>
        <w:t xml:space="preserve">vkswqhkynw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kxtlmwvpqv</w:t>
      </w:r>
    </w:p>
    <w:p>
      <w:pPr>
        <w:pStyle w:val="BodyText"/>
      </w:pPr>
      <w:r>
        <w:t xml:space="preserve">Disclaimer: This report is generated based on available data and industry standards, providing an estimation of the Product Carbon Footprint.</w:t>
      </w:r>
      <w:r>
        <w:t xml:space="preserve"> </w:t>
      </w:r>
      <w:r>
        <w:t xml:space="preserve">Actual figures may vary based on primary data availability and specific operational nuances.</w:t>
      </w:r>
    </w:p>
    <w:bookmarkEnd w:id="20"/>
    <w:bookmarkStart w:id="41" w:name="Xbf1884214f182c4762b9883e14b8c28d4230b83"/>
    <w:p>
      <w:pPr>
        <w:pStyle w:val="Heading1"/>
      </w:pPr>
      <w:r>
        <w:t xml:space="preserve">Product Carbon Footprint Analysis: mkfyzfiopq</w:t>
      </w:r>
    </w:p>
    <w:p>
      <w:pPr>
        <w:pStyle w:val="FirstParagraph"/>
      </w:pPr>
      <w:r>
        <w:rPr>
          <w:iCs/>
          <w:i/>
        </w:rPr>
        <w:t xml:space="preserve">Generated Date: May 23,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mkfyzfiopq, manufactured by vkswqhkynw.</w:t>
      </w:r>
      <w:r>
        <w:t xml:space="preserve"> </w:t>
      </w:r>
      <w:r>
        <w:t xml:space="preserve">The analysis was conducted by kxtlmwvpqv, Senior Sustainability Consultant, in accordance with the Greenhouse Gas (GHG) Protocol.</w:t>
      </w:r>
      <w:r>
        <w:t xml:space="preserve"> </w:t>
      </w:r>
      <w:r>
        <w:t xml:space="preserve">The objective is to quantify the total greenhouse gas emissions associated with the product\'s lifecycle,</w:t>
      </w:r>
      <w:r>
        <w:t xml:space="preserve"> </w:t>
      </w:r>
      <w:r>
        <w:t xml:space="preserve">identify key emission hotspots, and provide a baseline for future emission reduction strategies.</w:t>
      </w:r>
      <w:r>
        <w:t xml:space="preserve"> </w:t>
      </w:r>
      <w:r>
        <w:t xml:space="preserve">Special attention has been given to incorporating the latest 2026 updates, including the Land Sector and Removals (LSR) Standard</w:t>
      </w:r>
      <w:r>
        <w:t xml:space="preserve"> </w:t>
      </w:r>
      <w:r>
        <w:t xml:space="preserve">and the proposed revisions to the Scope 3 Standard, particularly the 95% coverage requirement.</w:t>
      </w:r>
    </w:p>
    <w:p>
      <w:r>
        <w:pict>
          <v:rect style="width:0;height:1.5pt" o:hralign="center" o:hrstd="t" o:hr="t"/>
        </w:pict>
      </w:r>
    </w:p>
    <w:bookmarkEnd w:id="21"/>
    <w:bookmarkStart w:id="29" w:name="methodology"/>
    <w:p>
      <w:pPr>
        <w:pStyle w:val="Heading2"/>
      </w:pPr>
      <w:r>
        <w:t xml:space="preserve">2. Methodology</w:t>
      </w:r>
    </w:p>
    <w:p>
      <w:pPr>
        <w:pStyle w:val="FirstParagraph"/>
      </w:pPr>
      <w:r>
        <w:t xml:space="preserve">The Product Carbon Footprint (PCF) analysis for mkfyzfiopq followed a five-step methodology consistent with the GHG Protocol Product Standard.</w:t>
      </w:r>
      <w:r>
        <w:t xml:space="preserve"> </w:t>
      </w:r>
      <w:r>
        <w:t xml:space="preserve">The assessment incorporates the latest guidance from the GHG Protocol, including the 2026 Land Sector and Removals (LSR) Standard,</w:t>
      </w:r>
      <w:r>
        <w:t xml:space="preserve"> </w:t>
      </w:r>
      <w:r>
        <w:t xml:space="preserve">which provides accounting requirements and guidance for land emissions, CO₂ removals, and emissions from biogenic products.</w:t>
      </w:r>
      <w:r>
        <w:t xml:space="preserve"> </w:t>
      </w:r>
      <w:r>
        <w:t xml:space="preserve">Additionally, the analysis anticipates and aligns with the proposed revisions to the Scope 3 Standard, particularly the emphasis on</w:t>
      </w:r>
      <w:r>
        <w:t xml:space="preserve"> </w:t>
      </w:r>
      <w:r>
        <w:t xml:space="preserve">achieving at least 95% coverage for all required Scope 3 emissions.</w:t>
      </w:r>
    </w:p>
    <w:bookmarkStart w:id="22"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is 1.0 unit of mkfyzfiopq. This unit serves as the reference flow to which all inputs and outputs are related.</w:t>
      </w:r>
    </w:p>
    <w:p>
      <w:pPr>
        <w:numPr>
          <w:ilvl w:val="0"/>
          <w:numId w:val="1001"/>
        </w:numPr>
        <w:pStyle w:val="Compact"/>
      </w:pPr>
      <w:r>
        <w:rPr>
          <w:bCs/>
          <w:b/>
        </w:rPr>
        <w:t xml:space="preserve">System Boundary:</w:t>
      </w:r>
      <w:r>
        <w:t xml:space="preserve"> </w:t>
      </w:r>
      <w:r>
        <w:t xml:space="preserve">A "cradle-to-factory-gate" system boundary has been applied, encompassing raw material extraction, processing, manufacturing, and transport to the factory gate. However, for a comprehensive view and to adhere to Scope 3 requirements, downstream elements like product distribution, use phase, and end-of-life have also been analyzed, effectively extending the boundary to "cradle-to-grave" for a full lifecycle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Where co-production or multi-output processes occur, allocation of emissions has been performed based on physical relationships (e.g., mass) or economic value, depending on the availability and relevance of data.</w:t>
      </w:r>
    </w:p>
    <w:p>
      <w:pPr>
        <w:numPr>
          <w:ilvl w:val="0"/>
          <w:numId w:val="1001"/>
        </w:numPr>
        <w:pStyle w:val="Compact"/>
      </w:pPr>
      <w:r>
        <w:rPr>
          <w:bCs/>
          <w:b/>
        </w:rPr>
        <w:t xml:space="preserve">Accounting Standard:</w:t>
      </w:r>
      <w:r>
        <w:t xml:space="preserve"> </w:t>
      </w:r>
      <w:r>
        <w:t xml:space="preserve">The Greenhouse Gas Protocol (GHG Protocol) Corporate Value Chain (Scope 3) Accounting and Reporting Standard and the Product Life Cycle Accounting and Reporting Standard are the primary frameworks guiding this analysis. The 2026 LSR Standard\'s principles for land-related emissions and removals are integrated, where applicable to the product\'s value chain, though it officially takes effect on January 1, 2027.</w:t>
      </w:r>
    </w:p>
    <w:bookmarkEnd w:id="22"/>
    <w:bookmarkStart w:id="28" w:name="step-2-3-map-lifecycle-lci-collect-data"/>
    <w:p>
      <w:pPr>
        <w:pStyle w:val="Heading3"/>
      </w:pPr>
      <w:r>
        <w:t xml:space="preserve">2.2. Step 2 &amp; 3: Map Lifecycle (LCI) &amp; Collect Data</w:t>
      </w:r>
    </w:p>
    <w:p>
      <w:pPr>
        <w:pStyle w:val="FirstParagraph"/>
      </w:pPr>
      <w:r>
        <w:t xml:space="preserve">Data collection for mkfyzfiopq involved gathering specific information across the product\'s lifecycle.</w:t>
      </w:r>
      <w:r>
        <w:t xml:space="preserve"> </w:t>
      </w:r>
      <w:r>
        <w:t xml:space="preserve">It is important to note that specific parameters for BOM, transport, energy, lifespan, and EoL were provided as placeholder strings (e.g., "nfrtivqm", "Select Mode").</w:t>
      </w:r>
      <w:r>
        <w:t xml:space="preserve"> </w:t>
      </w:r>
      <w:r>
        <w:t xml:space="preserve">For the purpose of this report, these placeholders are interpreted as instructions to utilize a structured data format, and illustrative data conforming to these structures has been used for the analysis, along with generic, industry-standard emission factors where specific factors for these placeholder inputs are unavailable.</w:t>
      </w:r>
      <w:r>
        <w:t xml:space="preserve"> </w:t>
      </w:r>
      <w:r>
        <w:t xml:space="preserve">For a real-world calculation, these placeholders would be replaced with precise primary data.</w:t>
      </w:r>
    </w:p>
    <w:bookmarkStart w:id="23" w:name="bill-of-materials-bom-analysis"/>
    <w:p>
      <w:pPr>
        <w:pStyle w:val="Heading4"/>
      </w:pPr>
      <w:r>
        <w:t xml:space="preserve">2.2.1. Bill of Materials (BOM) Analysis</w:t>
      </w:r>
    </w:p>
    <w:p>
      <w:pPr>
        <w:pStyle w:val="FirstParagraph"/>
      </w:pPr>
      <w:r>
        <w:t xml:space="preserve">The detailed Bill of Materials (BOM) provides the foundation for calculating the upstream material impacts. The provided BOM string "nfrtivqm" is assumed to represent the following structure and indicative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8.00</w:t>
            </w:r>
          </w:p>
        </w:tc>
        <w:tc>
          <w:tcPr/>
          <w:p>
            <w:pPr>
              <w:pStyle w:val="Compact"/>
              <w:jc w:val="left"/>
            </w:pPr>
            <w:r>
              <w:t xml:space="preserve">12.00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Assembly C</w:t>
            </w:r>
          </w:p>
        </w:tc>
        <w:tc>
          <w:tcPr/>
          <w:p>
            <w:pPr>
              <w:pStyle w:val="Compact"/>
              <w:jc w:val="left"/>
            </w:pPr>
            <w:r>
              <w:t xml:space="preserve">Electronics</w:t>
            </w:r>
          </w:p>
        </w:tc>
        <w:tc>
          <w:tcPr/>
          <w:p>
            <w:pPr>
              <w:pStyle w:val="Compact"/>
              <w:jc w:val="left"/>
            </w:pPr>
            <w:r>
              <w:t xml:space="preserve">Circuit Board Mfg.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Packaging Material D</w:t>
            </w:r>
          </w:p>
        </w:tc>
        <w:tc>
          <w:tcPr/>
          <w:p>
            <w:pPr>
              <w:pStyle w:val="Compact"/>
              <w:jc w:val="left"/>
            </w:pPr>
            <w:r>
              <w:t xml:space="preserve">Cardboard</w:t>
            </w:r>
          </w:p>
        </w:tc>
        <w:tc>
          <w:tcPr/>
          <w:p>
            <w:pPr>
              <w:pStyle w:val="Compact"/>
              <w:jc w:val="left"/>
            </w:pPr>
            <w:r>
              <w:t xml:space="preserve">Paper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M005</w:t>
            </w:r>
          </w:p>
        </w:tc>
        <w:tc>
          <w:tcPr/>
          <w:p>
            <w:pPr>
              <w:pStyle w:val="Compact"/>
              <w:jc w:val="left"/>
            </w:pPr>
            <w:r>
              <w:t xml:space="preserve">Silicon Chip E</w:t>
            </w:r>
          </w:p>
        </w:tc>
        <w:tc>
          <w:tcPr/>
          <w:p>
            <w:pPr>
              <w:pStyle w:val="Compact"/>
              <w:jc w:val="left"/>
            </w:pPr>
            <w:r>
              <w:t xml:space="preserve">Silicon</w:t>
            </w:r>
          </w:p>
        </w:tc>
        <w:tc>
          <w:tcPr/>
          <w:p>
            <w:pPr>
              <w:pStyle w:val="Compact"/>
              <w:jc w:val="left"/>
            </w:pPr>
            <w:r>
              <w:t xml:space="preserve">Semiconductor Fab</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150.00</w:t>
            </w:r>
          </w:p>
        </w:tc>
        <w:tc>
          <w:tcPr/>
          <w:p>
            <w:pPr>
              <w:pStyle w:val="Compact"/>
              <w:jc w:val="left"/>
            </w:pPr>
            <w:r>
              <w:t xml:space="preserve">7.50</w:t>
            </w:r>
          </w:p>
        </w:tc>
      </w:tr>
      <w:tr>
        <w:tc>
          <w:tcPr>
            <w:gridSpan w:val="7"/>
          </w:tcPr>
          <w:p>
            <w:pPr>
              <w:pStyle w:val="Compact"/>
              <w:jc w:val="right"/>
            </w:pPr>
            <w:r>
              <w:rPr>
                <w:bCs/>
                <w:b/>
              </w:rPr>
              <w:t xml:space="preserve">Total Material Carbon:</w:t>
            </w:r>
          </w:p>
        </w:tc>
        <w:tc>
          <w:tcPr/>
          <w:p>
            <w:pPr>
              <w:pStyle w:val="Compact"/>
              <w:jc w:val="left"/>
            </w:pPr>
            <w:r>
              <w:rPr>
                <w:bCs/>
                <w:b/>
              </w:rPr>
              <w:t xml:space="preserve">27.66</w:t>
            </w:r>
          </w:p>
        </w:tc>
      </w:tr>
    </w:tbl>
    <w:bookmarkEnd w:id="23"/>
    <w:bookmarkStart w:id="24" w:name="manufacturing-energy-inputs"/>
    <w:p>
      <w:pPr>
        <w:pStyle w:val="Heading4"/>
      </w:pPr>
      <w:r>
        <w:t xml:space="preserve">2.2.2. Manufacturing Energy Inputs</w:t>
      </w:r>
    </w:p>
    <w:p>
      <w:pPr>
        <w:pStyle w:val="FirstParagraph"/>
      </w:pPr>
      <w:r>
        <w:t xml:space="preserve">The production phase energy consumption is a critical factor. The provided parameters are interpreted as follows:</w:t>
      </w:r>
    </w:p>
    <w:p>
      <w:pPr>
        <w:numPr>
          <w:ilvl w:val="0"/>
          <w:numId w:val="1003"/>
        </w:numPr>
        <w:pStyle w:val="Compact"/>
      </w:pPr>
      <w:r>
        <w:rPr>
          <w:bCs/>
          <w:b/>
        </w:rPr>
        <w:t xml:space="preserve">Renewable Energy Usage (zpvvhrqwlf):</w:t>
      </w:r>
      <w:r>
        <w:t xml:space="preserve"> </w:t>
      </w:r>
      <w:r>
        <w:t xml:space="preserve">Assumed 50% renewable energy for the production facility in China.</w:t>
      </w:r>
    </w:p>
    <w:p>
      <w:pPr>
        <w:numPr>
          <w:ilvl w:val="0"/>
          <w:numId w:val="1003"/>
        </w:numPr>
        <w:pStyle w:val="Compact"/>
      </w:pPr>
      <w:r>
        <w:rPr>
          <w:bCs/>
          <w:b/>
        </w:rPr>
        <w:t xml:space="preserve">Energy Intensity (kWh/unit) (uinuyxtfdl):</w:t>
      </w:r>
      <w:r>
        <w:t xml:space="preserve"> </w:t>
      </w:r>
      <w:r>
        <w:t xml:space="preserve">Assumed 0.5 kWh/unit for the production of mkfyzfiopq.</w:t>
      </w:r>
    </w:p>
    <w:p>
      <w:pPr>
        <w:pStyle w:val="FirstParagraph"/>
      </w:pPr>
      <w:r>
        <w:t xml:space="preserve">For calculation purposes, an illustrative grid emission factor for China is used (e.g., 0.6 kg CO2e/kWh for non-renewable electricity) and 0 kg CO2e/kWh for renewable electricity.</w:t>
      </w:r>
    </w:p>
    <w:bookmarkEnd w:id="24"/>
    <w:bookmarkStart w:id="25" w:name="logistics-data"/>
    <w:p>
      <w:pPr>
        <w:pStyle w:val="Heading4"/>
      </w:pPr>
      <w:r>
        <w:t xml:space="preserve">2.2.3. Logistics Data</w:t>
      </w:r>
    </w:p>
    <w:p>
      <w:pPr>
        <w:pStyle w:val="FirstParagraph"/>
      </w:pPr>
      <w:r>
        <w:t xml:space="preserve">Transportation plays a significant role in the supply chain. The provided logistics data is interpreted as follows:</w:t>
      </w:r>
    </w:p>
    <w:p>
      <w:pPr>
        <w:numPr>
          <w:ilvl w:val="0"/>
          <w:numId w:val="1004"/>
        </w:numPr>
        <w:pStyle w:val="Compact"/>
      </w:pPr>
      <w:r>
        <w:rPr>
          <w:bCs/>
          <w:b/>
        </w:rPr>
        <w:t xml:space="preserve">Transport Mode (Select Mode):</w:t>
      </w:r>
      <w:r>
        <w:t xml:space="preserve"> </w:t>
      </w:r>
      <w:r>
        <w:t xml:space="preserve">Assumed "Ocean Freight" for intercontinental transport (China to Europe) and "Heavy Duty Truck" for intra-Europe and last-mile.</w:t>
      </w:r>
    </w:p>
    <w:p>
      <w:pPr>
        <w:numPr>
          <w:ilvl w:val="0"/>
          <w:numId w:val="1004"/>
        </w:numPr>
        <w:pStyle w:val="Compact"/>
      </w:pPr>
      <w:r>
        <w:rPr>
          <w:bCs/>
          <w:b/>
        </w:rPr>
        <w:t xml:space="preserve">Transport Distance (stdtxosltx):</w:t>
      </w:r>
      <w:r>
        <w:t xml:space="preserve"> </w:t>
      </w:r>
      <w:r>
        <w:t xml:space="preserve">Assumed 15,000 km for ocean freight and 500 km for road transport (average from port to distribution center in Europe).</w:t>
      </w:r>
    </w:p>
    <w:p>
      <w:pPr>
        <w:numPr>
          <w:ilvl w:val="0"/>
          <w:numId w:val="1004"/>
        </w:numPr>
        <w:pStyle w:val="Compact"/>
      </w:pPr>
      <w:r>
        <w:rPr>
          <w:bCs/>
          <w:b/>
        </w:rPr>
        <w:t xml:space="preserve">Last-Mile Delivery Channel (Delivery Type):</w:t>
      </w:r>
      <w:r>
        <w:t xml:space="preserve"> </w:t>
      </w:r>
      <w:r>
        <w:t xml:space="preserve">Assumed "Parcel Delivery Van" for the final leg.</w:t>
      </w:r>
    </w:p>
    <w:p>
      <w:pPr>
        <w:pStyle w:val="FirstParagraph"/>
      </w:pPr>
      <w:r>
        <w:t xml:space="preserve">Illustrative emission factors for these modes are used (e.g., Ocean Freight: 0.01 kg CO2e/tonne-km, Heavy Duty Truck: 0.1 kg CO2e/tonne-km, Parcel Delivery Van: 0.2 kg CO2e/tonne-km, assuming a product weight of 3 kg/unit for mkfyzfiopq).</w:t>
      </w:r>
    </w:p>
    <w:bookmarkEnd w:id="25"/>
    <w:bookmarkStart w:id="26" w:name="use-phase-data"/>
    <w:p>
      <w:pPr>
        <w:pStyle w:val="Heading4"/>
      </w:pPr>
      <w:r>
        <w:t xml:space="preserve">2.2.4. Use Phase Data</w:t>
      </w:r>
    </w:p>
    <w:p>
      <w:pPr>
        <w:pStyle w:val="FirstParagraph"/>
      </w:pPr>
      <w:r>
        <w:t xml:space="preserve">The product\'s use phase can be a major emission source depending on its energy consumption and lifespan. The provided parameters are:</w:t>
      </w:r>
    </w:p>
    <w:p>
      <w:pPr>
        <w:numPr>
          <w:ilvl w:val="0"/>
          <w:numId w:val="1005"/>
        </w:numPr>
        <w:pStyle w:val="Compact"/>
      </w:pPr>
      <w:r>
        <w:rPr>
          <w:bCs/>
          <w:b/>
        </w:rPr>
        <w:t xml:space="preserve">Product Lifespan (hlztupdoem):</w:t>
      </w:r>
      <w:r>
        <w:t xml:space="preserve"> </w:t>
      </w:r>
      <w:r>
        <w:t xml:space="preserve">Assumed 5 years.</w:t>
      </w:r>
    </w:p>
    <w:p>
      <w:pPr>
        <w:numPr>
          <w:ilvl w:val="0"/>
          <w:numId w:val="1005"/>
        </w:numPr>
        <w:pStyle w:val="Compact"/>
      </w:pPr>
      <w:r>
        <w:rPr>
          <w:bCs/>
          <w:b/>
        </w:rPr>
        <w:t xml:space="preserve">Energy Consumption in Use (ekmqwrrnet):</w:t>
      </w:r>
      <w:r>
        <w:t xml:space="preserve"> </w:t>
      </w:r>
      <w:r>
        <w:t xml:space="preserve">Assumed 10 kWh/year.</w:t>
      </w:r>
    </w:p>
    <w:p>
      <w:pPr>
        <w:pStyle w:val="FirstParagraph"/>
      </w:pPr>
      <w:r>
        <w:t xml:space="preserve">For the use phase, a generic European electricity grid emission factor is used (e.g., 0.25 kg CO2e/kWh).</w:t>
      </w:r>
    </w:p>
    <w:bookmarkEnd w:id="26"/>
    <w:bookmarkStart w:id="27" w:name="end-of-life-eol-scenarios"/>
    <w:p>
      <w:pPr>
        <w:pStyle w:val="Heading4"/>
      </w:pPr>
      <w:r>
        <w:t xml:space="preserve">2.2.5. End-of-Life (EoL) Scenarios</w:t>
      </w:r>
    </w:p>
    <w:p>
      <w:pPr>
        <w:pStyle w:val="FirstParagraph"/>
      </w:pPr>
      <w:r>
        <w:t xml:space="preserve">Circular economy impacts are crucial for a complete PCF. The provided EoL scenarios are:</w:t>
      </w:r>
    </w:p>
    <w:p>
      <w:pPr>
        <w:numPr>
          <w:ilvl w:val="0"/>
          <w:numId w:val="1006"/>
        </w:numPr>
        <w:pStyle w:val="Compact"/>
      </w:pPr>
      <w:r>
        <w:rPr>
          <w:bCs/>
          <w:b/>
        </w:rPr>
        <w:t xml:space="preserve">Recyclability Percentage (lmxppmxvps):</w:t>
      </w:r>
      <w:r>
        <w:t xml:space="preserve"> </w:t>
      </w:r>
      <w:r>
        <w:t xml:space="preserve">Assumed 70%.</w:t>
      </w:r>
    </w:p>
    <w:p>
      <w:pPr>
        <w:numPr>
          <w:ilvl w:val="0"/>
          <w:numId w:val="1006"/>
        </w:numPr>
        <w:pStyle w:val="Compact"/>
      </w:pPr>
      <w:r>
        <w:rPr>
          <w:bCs/>
          <w:b/>
        </w:rPr>
        <w:t xml:space="preserve">Circular/Take-back Programs (dvtpyvhxsj):</w:t>
      </w:r>
      <w:r>
        <w:t xml:space="preserve"> </w:t>
      </w:r>
      <w:r>
        <w:t xml:space="preserve">Assumed "Yes" (indicating existence of such programs, reducing EoL impact).</w:t>
      </w:r>
    </w:p>
    <w:p>
      <w:pPr>
        <w:pStyle w:val="FirstParagraph"/>
      </w:pPr>
      <w:r>
        <w:t xml:space="preserve">EoL calculations credit avoided emissions for recycled materials and account for disposal emissions for non-recycled waste (e.g., landfill: 0.5 kg CO2e/kg, incineration: 1.5 kg CO2e/kg).</w:t>
      </w:r>
    </w:p>
    <w:p>
      <w:r>
        <w:pict>
          <v:rect style="width:0;height:1.5pt" o:hralign="center" o:hrstd="t" o:hr="t"/>
        </w:pict>
      </w:r>
    </w:p>
    <w:bookmarkEnd w:id="27"/>
    <w:bookmarkEnd w:id="28"/>
    <w:bookmarkEnd w:id="29"/>
    <w:bookmarkStart w:id="35" w:name="step-4-calculate-emissions"/>
    <w:p>
      <w:pPr>
        <w:pStyle w:val="Heading2"/>
      </w:pPr>
      <w:r>
        <w:t xml:space="preserve">3. Step 4: Calculate Emissions</w:t>
      </w:r>
    </w:p>
    <w:p>
      <w:pPr>
        <w:pStyle w:val="FirstParagraph"/>
      </w:pPr>
      <w:r>
        <w:t xml:space="preserve">Emissions are calculated by multiplying activity data (e.g., kg of material, kWh of energy, km travelled) by relevant emission factors.</w:t>
      </w:r>
      <w:r>
        <w:t xml:space="preserve"> </w:t>
      </w:r>
      <w:r>
        <w:t xml:space="preserve">Industry-standard emission factors are utilized, drawing conceptually from databases like Ecoinvent and DEFRA, though specific database access is beyond this report\'s scope.</w:t>
      </w:r>
      <w:r>
        <w:t xml:space="preserve"> </w:t>
      </w:r>
      <w:r>
        <w:t xml:space="preserve">All emissions are categorized according to the GHG Protocol into Scope 1 (direct), Scope 2 (purchased energy), and Scope 3 (value chain).</w:t>
      </w:r>
      <w:r>
        <w:t xml:space="preserve"> </w:t>
      </w:r>
      <w:r>
        <w:t xml:space="preserve">As per the 2026 requirements, this report aims for at least 95% coverage for all required Scope 3 emissions.</w:t>
      </w:r>
      <w:r>
        <w:t xml:space="preserve"> </w:t>
      </w:r>
      <w:r>
        <w:t xml:space="preserve">The Land Sector and Removals (LSR) Standard\'s principles are applied to ensure relevant land-use and removal impacts are considered, particularly for materials with an agricultural or land-intensive origin.</w:t>
      </w:r>
    </w:p>
    <w:bookmarkStart w:id="30" w:name="X8aa22f5a86702839bdb6c645fc19f57e4797574"/>
    <w:p>
      <w:pPr>
        <w:pStyle w:val="Heading3"/>
      </w:pPr>
      <w:r>
        <w:t xml:space="preserve">3.1. Emission Categorization (GHG Protocol Scopes)</w:t>
      </w:r>
    </w:p>
    <w:p>
      <w:pPr>
        <w:numPr>
          <w:ilvl w:val="0"/>
          <w:numId w:val="1007"/>
        </w:numPr>
        <w:pStyle w:val="Compact"/>
      </w:pPr>
      <w:r>
        <w:rPr>
          <w:bCs/>
          <w:b/>
        </w:rPr>
        <w:t xml:space="preserve">Scope 1: Direct Emissions</w:t>
      </w:r>
      <w:r>
        <w:t xml:space="preserve"> </w:t>
      </w:r>
      <w:r>
        <w:t xml:space="preserve">- Emissions from sources owned or controlled by vkswqhkynw (e.g., on-site fuel combustion). For a product-level PCF with a "factory_gate" system boundary for direct operations, these would typically be covered by the manufacturing process. However, this PCF focuses on the product\'s embedded emissions and primarily reports direct emissions that are directly attributable to the product\'s manufacturing process (e.g., from on-site machinery, if any). Since no specific Scope 1 data for mkfyzfiopq\'s direct manufacturing process was provided, this category assumes minimal direct operational emissions unless otherwise specified.</w:t>
      </w:r>
    </w:p>
    <w:p>
      <w:pPr>
        <w:numPr>
          <w:ilvl w:val="0"/>
          <w:numId w:val="1007"/>
        </w:numPr>
        <w:pStyle w:val="Compact"/>
      </w:pPr>
      <w:r>
        <w:rPr>
          <w:bCs/>
          <w:b/>
        </w:rPr>
        <w:t xml:space="preserve">Scope 2: Indirect Emissions from Purchased Energy</w:t>
      </w:r>
      <w:r>
        <w:t xml:space="preserve"> </w:t>
      </w:r>
      <w:r>
        <w:t xml:space="preserve">- Emissions from the generation of purchased electricity, steam, heating, and cooling consumed by vkswqhkynw\'s manufacturing facility. This is calculated based on the energy intensity and renewable energy usage provided.</w:t>
      </w:r>
    </w:p>
    <w:p>
      <w:pPr>
        <w:numPr>
          <w:ilvl w:val="0"/>
          <w:numId w:val="1007"/>
        </w:numPr>
        <w:pStyle w:val="Compact"/>
      </w:pPr>
      <w:r>
        <w:rPr>
          <w:bCs/>
          <w:b/>
        </w:rPr>
        <w:t xml:space="preserve">Scope 3: Other Indirect Emissions (Value Chain)</w:t>
      </w:r>
      <w:r>
        <w:t xml:space="preserve"> </w:t>
      </w:r>
      <w:r>
        <w:t xml:space="preserve">- All other indirect emissions occurring in the value chain, both upstream and downstream. This is the most significant scope for a PCF and is broken down into relevant categories. The proposed 2026 GHG Protocol Scope 3 revisions emphasize a 95% coverage for required Scope 3 emissions, and this analysis strives to meet that level of comprehensiveness.</w:t>
      </w:r>
    </w:p>
    <w:bookmarkEnd w:id="30"/>
    <w:bookmarkStart w:id="34" w:name="Xf0e6961a298052eb8a2cd20cb25c977e5dee011"/>
    <w:p>
      <w:pPr>
        <w:pStyle w:val="Heading3"/>
      </w:pPr>
      <w:r>
        <w:t xml:space="preserve">3.2. Illustrative PCF Calculation per Scope (per 1.0 unit of mkfyzfiopq)</w:t>
      </w:r>
    </w:p>
    <w:bookmarkStart w:id="31" w:name="upstream-emissions-scope-3"/>
    <w:p>
      <w:pPr>
        <w:pStyle w:val="Heading4"/>
      </w:pPr>
      <w:r>
        <w:t xml:space="preserve">3.2.1. Upstream Emissions (Scope 3)</w:t>
      </w:r>
    </w:p>
    <w:p>
      <w:pPr>
        <w:numPr>
          <w:ilvl w:val="0"/>
          <w:numId w:val="1008"/>
        </w:numPr>
        <w:pStyle w:val="Compact"/>
      </w:pPr>
      <w:r>
        <w:rPr>
          <w:bCs/>
          <w:b/>
        </w:rPr>
        <w:t xml:space="preserve">Materials (Purchased Goods &amp; Services - Category 1):</w:t>
      </w:r>
    </w:p>
    <w:p>
      <w:pPr>
        <w:numPr>
          <w:ilvl w:val="1"/>
          <w:numId w:val="1009"/>
        </w:numPr>
        <w:pStyle w:val="Compact"/>
      </w:pPr>
      <w:r>
        <w:t xml:space="preserve">Total Material Carbon (from BOM table): 27.66 kg CO2e</w:t>
      </w:r>
    </w:p>
    <w:p>
      <w:pPr>
        <w:numPr>
          <w:ilvl w:val="1"/>
          <w:numId w:val="1009"/>
        </w:numPr>
        <w:pStyle w:val="Compact"/>
      </w:pPr>
      <w:r>
        <w:rPr>
          <w:iCs/>
          <w:i/>
        </w:rPr>
        <w:t xml:space="preserve">(This category incorporates potential LSR Standard considerations for agricultural raw materials or land-use change associated with material production, if applicable. Based on the illustrative BOM, this is primarily industrial material impact.)</w:t>
      </w:r>
    </w:p>
    <w:p>
      <w:pPr>
        <w:numPr>
          <w:ilvl w:val="0"/>
          <w:numId w:val="1008"/>
        </w:numPr>
        <w:pStyle w:val="Compact"/>
      </w:pPr>
      <w:r>
        <w:rPr>
          <w:bCs/>
          <w:b/>
        </w:rPr>
        <w:t xml:space="preserve">Upstream Transportation &amp; Distribution (Category 4):</w:t>
      </w:r>
    </w:p>
    <w:p>
      <w:pPr>
        <w:numPr>
          <w:ilvl w:val="1"/>
          <w:numId w:val="1010"/>
        </w:numPr>
        <w:pStyle w:val="Compact"/>
      </w:pPr>
      <w:r>
        <w:t xml:space="preserve">Ocean Freight (China to Europe): (15,000 km * 3 kg product / 1000 kg/tonne) * 0.01 kg CO2e/tonne-km = 0.45 kg CO2e</w:t>
      </w:r>
    </w:p>
    <w:p>
      <w:pPr>
        <w:numPr>
          <w:ilvl w:val="1"/>
          <w:numId w:val="1010"/>
        </w:numPr>
        <w:pStyle w:val="Compact"/>
      </w:pPr>
      <w:r>
        <w:t xml:space="preserve">Road Transport (Port to DC, Europe): (500 km * 3 kg product / 1000 kg/tonne) * 0.1 kg CO2e/tonne-km = 0.15 kg CO2e</w:t>
      </w:r>
    </w:p>
    <w:p>
      <w:pPr>
        <w:numPr>
          <w:ilvl w:val="1"/>
          <w:numId w:val="1010"/>
        </w:numPr>
        <w:pStyle w:val="Compact"/>
      </w:pPr>
      <w:r>
        <w:t xml:space="preserve">Total Upstream Transport: 0.60 kg CO2e</w:t>
      </w:r>
    </w:p>
    <w:p>
      <w:pPr>
        <w:pStyle w:val="FirstParagraph"/>
      </w:pPr>
      <w:r>
        <w:rPr>
          <w:bCs/>
          <w:b/>
        </w:rPr>
        <w:t xml:space="preserve">Total Upstream (Scope 3, illustrative): 27.66 + 0.60 = 28.26 kg CO2e</w:t>
      </w:r>
    </w:p>
    <w:bookmarkEnd w:id="31"/>
    <w:bookmarkStart w:id="32" w:name="X83c32c17526c979fa8b102af8706db1dfa33873"/>
    <w:p>
      <w:pPr>
        <w:pStyle w:val="Heading4"/>
      </w:pPr>
      <w:r>
        <w:t xml:space="preserve">3.2.2. Core Operational Emissions (Scope 1 &amp; 2 - Manufacturing)</w:t>
      </w:r>
    </w:p>
    <w:p>
      <w:pPr>
        <w:numPr>
          <w:ilvl w:val="0"/>
          <w:numId w:val="1011"/>
        </w:numPr>
        <w:pStyle w:val="Compact"/>
      </w:pPr>
      <w:r>
        <w:rPr>
          <w:bCs/>
          <w:b/>
        </w:rPr>
        <w:t xml:space="preserve">Scope 1 (Direct Emissions from Manufacturing):</w:t>
      </w:r>
      <w:r>
        <w:t xml:space="preserve"> </w:t>
      </w:r>
      <w:r>
        <w:t xml:space="preserve">Assumed negligible or embedded within Scope 2 for simplicity, given the lack of specific data. (0.00 kg CO2e)</w:t>
      </w:r>
    </w:p>
    <w:p>
      <w:pPr>
        <w:numPr>
          <w:ilvl w:val="0"/>
          <w:numId w:val="1011"/>
        </w:numPr>
        <w:pStyle w:val="Compact"/>
      </w:pPr>
      <w:r>
        <w:rPr>
          <w:bCs/>
          <w:b/>
        </w:rPr>
        <w:t xml:space="preserve">Scope 2 (Purchased Electricity for Manufacturing):</w:t>
      </w:r>
    </w:p>
    <w:p>
      <w:pPr>
        <w:numPr>
          <w:ilvl w:val="1"/>
          <w:numId w:val="1012"/>
        </w:numPr>
        <w:pStyle w:val="Compact"/>
      </w:pPr>
      <w:r>
        <w:t xml:space="preserve">Total Energy Intensity: 0.5 kWh/unit</w:t>
      </w:r>
    </w:p>
    <w:p>
      <w:pPr>
        <w:numPr>
          <w:ilvl w:val="1"/>
          <w:numId w:val="1012"/>
        </w:numPr>
        <w:pStyle w:val="Compact"/>
      </w:pPr>
      <w:r>
        <w:t xml:space="preserve">Renewable Energy Usage: 50%</w:t>
      </w:r>
    </w:p>
    <w:p>
      <w:pPr>
        <w:numPr>
          <w:ilvl w:val="1"/>
          <w:numId w:val="1012"/>
        </w:numPr>
        <w:pStyle w:val="Compact"/>
      </w:pPr>
      <w:r>
        <w:t xml:space="preserve">Non-Renewable Energy: 0.5 kWh/unit * 50% = 0.25 kWh/unit</w:t>
      </w:r>
    </w:p>
    <w:p>
      <w:pPr>
        <w:numPr>
          <w:ilvl w:val="1"/>
          <w:numId w:val="1012"/>
        </w:numPr>
        <w:pStyle w:val="Compact"/>
      </w:pPr>
      <w:r>
        <w:t xml:space="preserve">Emissions from Non-Renewable Energy: 0.25 kWh/unit * 0.6 kg CO2e/kWh (China grid) = 0.15 kg CO2e</w:t>
      </w:r>
    </w:p>
    <w:p>
      <w:pPr>
        <w:pStyle w:val="FirstParagraph"/>
      </w:pPr>
      <w:r>
        <w:rPr>
          <w:bCs/>
          <w:b/>
        </w:rPr>
        <w:t xml:space="preserve">Total Manufacturing (Scope 1 &amp; 2, illustrative): 0.15 kg CO2e</w:t>
      </w:r>
    </w:p>
    <w:bookmarkEnd w:id="32"/>
    <w:bookmarkStart w:id="33" w:name="downstream-emissions-scope-3"/>
    <w:p>
      <w:pPr>
        <w:pStyle w:val="Heading4"/>
      </w:pPr>
      <w:r>
        <w:t xml:space="preserve">3.2.3. Downstream Emissions (Scope 3)</w:t>
      </w:r>
    </w:p>
    <w:p>
      <w:pPr>
        <w:numPr>
          <w:ilvl w:val="0"/>
          <w:numId w:val="1013"/>
        </w:numPr>
        <w:pStyle w:val="Compact"/>
      </w:pPr>
      <w:r>
        <w:rPr>
          <w:bCs/>
          <w:b/>
        </w:rPr>
        <w:t xml:space="preserve">Downstream Transportation &amp; Distribution (Category 4):</w:t>
      </w:r>
    </w:p>
    <w:p>
      <w:pPr>
        <w:numPr>
          <w:ilvl w:val="1"/>
          <w:numId w:val="1014"/>
        </w:numPr>
        <w:pStyle w:val="Compact"/>
      </w:pPr>
      <w:r>
        <w:t xml:space="preserve">Last-Mile Delivery (Parcel Van, illustrative 100km): (100 km * 3 kg product / 1000 kg/tonne) * 0.2 kg CO2e/tonne-km = 0.06 kg CO2e</w:t>
      </w:r>
    </w:p>
    <w:p>
      <w:pPr>
        <w:numPr>
          <w:ilvl w:val="0"/>
          <w:numId w:val="1013"/>
        </w:numPr>
        <w:pStyle w:val="Compact"/>
      </w:pPr>
      <w:r>
        <w:rPr>
          <w:bCs/>
          <w:b/>
        </w:rPr>
        <w:t xml:space="preserve">Use of Sold Products (Category 11):</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Consumption in Use: 5 years * 10 kWh/year = 50 kWh</w:t>
      </w:r>
    </w:p>
    <w:p>
      <w:pPr>
        <w:numPr>
          <w:ilvl w:val="1"/>
          <w:numId w:val="1015"/>
        </w:numPr>
        <w:pStyle w:val="Compact"/>
      </w:pPr>
      <w:r>
        <w:t xml:space="preserve">Emissions from Use Phase: 50 kWh * 0.25 kg CO2e/kWh (European grid) = 12.50 kg CO2e</w:t>
      </w:r>
    </w:p>
    <w:p>
      <w:pPr>
        <w:numPr>
          <w:ilvl w:val="0"/>
          <w:numId w:val="1013"/>
        </w:numPr>
        <w:pStyle w:val="Compact"/>
      </w:pPr>
      <w:r>
        <w:rPr>
          <w:bCs/>
          <w:b/>
        </w:rPr>
        <w:t xml:space="preserve">End-of-Life Treatment of Sold Products (Category 12):</w:t>
      </w:r>
    </w:p>
    <w:p>
      <w:pPr>
        <w:numPr>
          <w:ilvl w:val="1"/>
          <w:numId w:val="1016"/>
        </w:numPr>
        <w:pStyle w:val="Compact"/>
      </w:pPr>
      <w:r>
        <w:t xml:space="preserve">Product Weight: 3 kg (from material assumptions)</w:t>
      </w:r>
    </w:p>
    <w:p>
      <w:pPr>
        <w:numPr>
          <w:ilvl w:val="1"/>
          <w:numId w:val="1016"/>
        </w:numPr>
        <w:pStyle w:val="Compact"/>
      </w:pPr>
      <w:r>
        <w:t xml:space="preserve">Recyclability Percentage: 70%</w:t>
      </w:r>
    </w:p>
    <w:p>
      <w:pPr>
        <w:numPr>
          <w:ilvl w:val="1"/>
          <w:numId w:val="1016"/>
        </w:numPr>
        <w:pStyle w:val="Compact"/>
      </w:pPr>
      <w:r>
        <w:t xml:space="preserve">Weight Recycled: 3 kg * 70% = 2.1 kg</w:t>
      </w:r>
    </w:p>
    <w:p>
      <w:pPr>
        <w:numPr>
          <w:ilvl w:val="1"/>
          <w:numId w:val="1016"/>
        </w:numPr>
        <w:pStyle w:val="Compact"/>
      </w:pPr>
      <w:r>
        <w:t xml:space="preserve">Weight Disposed (e.g., landfill/incineration): 3 kg * (100% - 70%) = 0.9 kg</w:t>
      </w:r>
    </w:p>
    <w:p>
      <w:pPr>
        <w:numPr>
          <w:ilvl w:val="1"/>
          <w:numId w:val="1016"/>
        </w:numPr>
        <w:pStyle w:val="Compact"/>
      </w:pPr>
      <w:r>
        <w:t xml:space="preserve">Avoided Emissions from Recycling: 2.1 kg * (-1.0 kg CO2e/kg, illustrative credit for metal/plastic recycling) = -2.10 kg CO2e</w:t>
      </w:r>
    </w:p>
    <w:p>
      <w:pPr>
        <w:numPr>
          <w:ilvl w:val="1"/>
          <w:numId w:val="1016"/>
        </w:numPr>
        <w:pStyle w:val="Compact"/>
      </w:pPr>
      <w:r>
        <w:t xml:space="preserve">Emissions from Disposal: 0.9 kg * 1.0 kg CO2e/kg (illustrative average for mixed disposal) = 0.90 kg CO2e</w:t>
      </w:r>
    </w:p>
    <w:p>
      <w:pPr>
        <w:numPr>
          <w:ilvl w:val="1"/>
          <w:numId w:val="1016"/>
        </w:numPr>
        <w:pStyle w:val="Compact"/>
      </w:pPr>
      <w:r>
        <w:t xml:space="preserve">Net EoL Emissions: -1.20 kg CO2e</w:t>
      </w:r>
    </w:p>
    <w:p>
      <w:pPr>
        <w:numPr>
          <w:ilvl w:val="1"/>
          <w:numId w:val="1016"/>
        </w:numPr>
        <w:pStyle w:val="Compact"/>
      </w:pPr>
      <w:r>
        <w:rPr>
          <w:iCs/>
          <w:i/>
        </w:rPr>
        <w:t xml:space="preserve">(Circular/Take-back Programs (dvtpyvhxsj - Yes) are assumed to facilitate higher recycling rates and better waste management practices, contributing to the avoided emissions.)</w:t>
      </w:r>
    </w:p>
    <w:p>
      <w:pPr>
        <w:pStyle w:val="FirstParagraph"/>
      </w:pPr>
      <w:r>
        <w:rPr>
          <w:bCs/>
          <w:b/>
        </w:rPr>
        <w:t xml:space="preserve">Total Downstream (Scope 3, illustrative): 0.06 + 12.50 - 1.20 = 11.36 kg CO2e</w:t>
      </w:r>
    </w:p>
    <w:p>
      <w:pPr>
        <w:pStyle w:val="BodyText"/>
      </w:pPr>
      <w:r>
        <w:rPr>
          <w:bCs/>
          <w:b/>
        </w:rPr>
        <w:t xml:space="preserve">Total Product Carbon Footprint (Illustrative):</w:t>
      </w:r>
    </w:p>
    <w:p>
      <w:pPr>
        <w:numPr>
          <w:ilvl w:val="0"/>
          <w:numId w:val="1017"/>
        </w:numPr>
        <w:pStyle w:val="Compact"/>
      </w:pPr>
      <w:r>
        <w:t xml:space="preserve">Scope 1: 0.00 kg CO2e</w:t>
      </w:r>
    </w:p>
    <w:p>
      <w:pPr>
        <w:numPr>
          <w:ilvl w:val="0"/>
          <w:numId w:val="1017"/>
        </w:numPr>
        <w:pStyle w:val="Compact"/>
      </w:pPr>
      <w:r>
        <w:t xml:space="preserve">Scope 2: 0.15 kg CO2e</w:t>
      </w:r>
    </w:p>
    <w:p>
      <w:pPr>
        <w:numPr>
          <w:ilvl w:val="0"/>
          <w:numId w:val="1017"/>
        </w:numPr>
        <w:pStyle w:val="Compact"/>
      </w:pPr>
      <w:r>
        <w:t xml:space="preserve">Scope 3: 28.26 (Upstream) + 11.36 (Downstream) = 39.62 kg CO2e</w:t>
      </w:r>
    </w:p>
    <w:p>
      <w:pPr>
        <w:numPr>
          <w:ilvl w:val="0"/>
          <w:numId w:val="1017"/>
        </w:numPr>
        <w:pStyle w:val="Compact"/>
      </w:pPr>
      <w:r>
        <w:rPr>
          <w:bCs/>
          <w:b/>
        </w:rPr>
        <w:t xml:space="preserve">Grand Total PCF: 0.00 + 0.15 + 39.62 = 39.77 kg CO2e per 1.0 unit of mkfyzfiopq</w:t>
      </w:r>
    </w:p>
    <w:p>
      <w:r>
        <w:pict>
          <v:rect style="width:0;height:1.5pt" o:hralign="center" o:hrstd="t" o:hr="t"/>
        </w:pict>
      </w:r>
    </w:p>
    <w:bookmarkEnd w:id="33"/>
    <w:bookmarkEnd w:id="34"/>
    <w:bookmarkEnd w:id="35"/>
    <w:bookmarkStart w:id="39" w:name="step-5-review-report"/>
    <w:p>
      <w:pPr>
        <w:pStyle w:val="Heading2"/>
      </w:pPr>
      <w:r>
        <w:t xml:space="preserve">4. Step 5: Review &amp; Report</w:t>
      </w:r>
    </w:p>
    <w:bookmarkStart w:id="36" w:name="emission-hotspots"/>
    <w:p>
      <w:pPr>
        <w:pStyle w:val="Heading3"/>
      </w:pPr>
      <w:r>
        <w:t xml:space="preserve">4.1. Emission Hotspots</w:t>
      </w:r>
    </w:p>
    <w:p>
      <w:pPr>
        <w:pStyle w:val="FirstParagraph"/>
      </w:pPr>
      <w:r>
        <w:t xml:space="preserve">Based on this illustrative analysis, the primary emission hotspots for mkfyzfiopq are:</w:t>
      </w:r>
    </w:p>
    <w:p>
      <w:pPr>
        <w:numPr>
          <w:ilvl w:val="0"/>
          <w:numId w:val="1018"/>
        </w:numPr>
        <w:pStyle w:val="Compact"/>
      </w:pPr>
      <w:r>
        <w:rPr>
          <w:bCs/>
          <w:b/>
        </w:rPr>
        <w:t xml:space="preserve">Materials (Upstream Scope 3):</w:t>
      </w:r>
      <w:r>
        <w:t xml:space="preserve"> </w:t>
      </w:r>
      <w:r>
        <w:t xml:space="preserve">Representing 27.66 kg CO2e (approx. 69.5% of total PCF). This highlights the significant impact of raw material extraction and processing, particularly for high-emission materials like certain metals and semiconductors.</w:t>
      </w:r>
    </w:p>
    <w:p>
      <w:pPr>
        <w:numPr>
          <w:ilvl w:val="0"/>
          <w:numId w:val="1018"/>
        </w:numPr>
        <w:pStyle w:val="Compact"/>
      </w:pPr>
      <w:r>
        <w:rPr>
          <w:bCs/>
          <w:b/>
        </w:rPr>
        <w:t xml:space="preserve">Use of Sold Products (Downstream Scope 3):</w:t>
      </w:r>
      <w:r>
        <w:t xml:space="preserve"> </w:t>
      </w:r>
      <w:r>
        <w:t xml:space="preserve">Contributing 12.50 kg CO2e (approx. 31.4% of total PCF). This indicates that the energy consumption during the product\'s lifespan is a critical area for improvement, depending on the energy source.</w:t>
      </w:r>
    </w:p>
    <w:p>
      <w:pPr>
        <w:pStyle w:val="FirstParagraph"/>
      </w:pPr>
      <w:r>
        <w:t xml:space="preserve">Other stages like transportation and manufacturing energy contribute smaller, but still relevant, portions to the overall footprint.</w:t>
      </w:r>
    </w:p>
    <w:bookmarkEnd w:id="36"/>
    <w:bookmarkStart w:id="37" w:name="reliability-and-data-quality"/>
    <w:p>
      <w:pPr>
        <w:pStyle w:val="Heading3"/>
      </w:pPr>
      <w:r>
        <w:t xml:space="preserve">4.2. Reliability and Data Quality</w:t>
      </w:r>
    </w:p>
    <w:p>
      <w:pPr>
        <w:pStyle w:val="FirstParagraph"/>
      </w:pPr>
      <w:r>
        <w:t xml:space="preserve">The reliability of this report is based on the methodology consistent with the GHG Protocol and the illustrative data provided.</w:t>
      </w:r>
      <w:r>
        <w:t xml:space="preserve"> </w:t>
      </w:r>
      <w:r>
        <w:t xml:space="preserve">For a precise and auditable PCF, the placeholder data (e.g., "nfrtivqm" for BOM, "Select Mode" for transport) would need to be replaced by high-quality, primary activity data from vkswqhkynw and its supply chain partners.</w:t>
      </w:r>
      <w:r>
        <w:t xml:space="preserve"> </w:t>
      </w:r>
      <w:r>
        <w:t xml:space="preserve">The proposed 2026 GHG Protocol Scope 3 revisions emphasize mandatory data disaggregation by source type (primary vs. secondary) to improve transparency and comparability.</w:t>
      </w:r>
      <w:r>
        <w:t xml:space="preserve"> </w:t>
      </w:r>
      <w:r>
        <w:t xml:space="preserve">Future iterations of this PCF should focus on collecting supplier-specific data for key material and manufacturing processes to enhance accuracy.</w:t>
      </w:r>
    </w:p>
    <w:bookmarkEnd w:id="37"/>
    <w:bookmarkStart w:id="38" w:name="ghg-protocol-updates-integration"/>
    <w:p>
      <w:pPr>
        <w:pStyle w:val="Heading3"/>
      </w:pPr>
      <w:r>
        <w:t xml:space="preserve">4.3. 2026 GHG Protocol Updates Integration</w:t>
      </w:r>
    </w:p>
    <w:p>
      <w:pPr>
        <w:numPr>
          <w:ilvl w:val="0"/>
          <w:numId w:val="1019"/>
        </w:numPr>
        <w:pStyle w:val="Compact"/>
      </w:pPr>
      <w:r>
        <w:rPr>
          <w:bCs/>
          <w:b/>
        </w:rPr>
        <w:t xml:space="preserve">LSR Standard:</w:t>
      </w:r>
      <w:r>
        <w:t xml:space="preserve"> </w:t>
      </w:r>
      <w:r>
        <w:t xml:space="preserve">While the LSR Standard officially takes effect in 2027, its principles have been considered for materials with potential land-use impacts. This ensures that emissions and potential removals related to land management and biogenic carbon flows are on the reporting radar for future, more detailed assessments. The current version of LSR Standard does not yet cover the forestry sector, which remains under development.</w:t>
      </w:r>
    </w:p>
    <w:p>
      <w:pPr>
        <w:numPr>
          <w:ilvl w:val="0"/>
          <w:numId w:val="1019"/>
        </w:numPr>
        <w:pStyle w:val="Compact"/>
      </w:pPr>
      <w:r>
        <w:rPr>
          <w:bCs/>
          <w:b/>
        </w:rPr>
        <w:t xml:space="preserve">Scope 3 95% Coverage:</w:t>
      </w:r>
      <w:r>
        <w:t xml:space="preserve"> </w:t>
      </w:r>
      <w:r>
        <w:t xml:space="preserve">This report has aimed for comprehensive coverage across all relevant Scope 3 categories (Materials, Upstream/Downstream Transport, Use Phase, EoL). Any exclusions would need to be quantified, disclosed, and justified to meet the proposed 95% coverage requirement for required Scope 3 emissions.</w:t>
      </w:r>
    </w:p>
    <w:p>
      <w:r>
        <w:pict>
          <v:rect style="width:0;height:1.5pt" o:hralign="center" o:hrstd="t" o:hr="t"/>
        </w:pict>
      </w:r>
    </w:p>
    <w:bookmarkEnd w:id="38"/>
    <w:bookmarkEnd w:id="39"/>
    <w:bookmarkStart w:id="40" w:name="recommendations-for-emission-reduction"/>
    <w:p>
      <w:pPr>
        <w:pStyle w:val="Heading2"/>
      </w:pPr>
      <w:r>
        <w:t xml:space="preserve">5. Recommendations for Emission Reduction</w:t>
      </w:r>
    </w:p>
    <w:p>
      <w:pPr>
        <w:numPr>
          <w:ilvl w:val="0"/>
          <w:numId w:val="1020"/>
        </w:numPr>
        <w:pStyle w:val="Compact"/>
      </w:pPr>
      <w:r>
        <w:rPr>
          <w:bCs/>
          <w:b/>
        </w:rPr>
        <w:t xml:space="preserve">Material Optimization:</w:t>
      </w:r>
      <w:r>
        <w:t xml:space="preserve"> </w:t>
      </w:r>
      <w:r>
        <w:t xml:space="preserve">Focus on sourcing lower-carbon materials, exploring recycled content, or lightweighting the product to reduce the significant material footprint. Engage with suppliers to obtain primary emission data and identify opportunities for their own emission reductions.</w:t>
      </w:r>
    </w:p>
    <w:p>
      <w:pPr>
        <w:numPr>
          <w:ilvl w:val="0"/>
          <w:numId w:val="1020"/>
        </w:numPr>
        <w:pStyle w:val="Compact"/>
      </w:pPr>
      <w:r>
        <w:rPr>
          <w:bCs/>
          <w:b/>
        </w:rPr>
        <w:t xml:space="preserve">Energy Efficiency in Use:</w:t>
      </w:r>
      <w:r>
        <w:t xml:space="preserve"> </w:t>
      </w:r>
      <w:r>
        <w:t xml:space="preserve">Investigate opportunities to reduce the energy consumption of mkfyzfiopq during its use phase. This could involve design changes, improved efficiency, or encouraging renewable energy use by consumers.</w:t>
      </w:r>
    </w:p>
    <w:p>
      <w:pPr>
        <w:numPr>
          <w:ilvl w:val="0"/>
          <w:numId w:val="1020"/>
        </w:numPr>
        <w:pStyle w:val="Compact"/>
      </w:pPr>
      <w:r>
        <w:rPr>
          <w:bCs/>
          <w:b/>
        </w:rPr>
        <w:t xml:space="preserve">Supply Chain Engagement:</w:t>
      </w:r>
      <w:r>
        <w:t xml:space="preserve"> </w:t>
      </w:r>
      <w:r>
        <w:t xml:space="preserve">Work closely with key suppliers in China and Europe to gather primary data for material production and transportation, allowing for more accurate calculations and targeted reduction efforts.</w:t>
      </w:r>
    </w:p>
    <w:p>
      <w:pPr>
        <w:numPr>
          <w:ilvl w:val="0"/>
          <w:numId w:val="1020"/>
        </w:numPr>
        <w:pStyle w:val="Compact"/>
      </w:pPr>
      <w:r>
        <w:rPr>
          <w:bCs/>
          <w:b/>
        </w:rPr>
        <w:t xml:space="preserve">Circular Economy Strategies:</w:t>
      </w:r>
      <w:r>
        <w:t xml:space="preserve"> </w:t>
      </w:r>
      <w:r>
        <w:t xml:space="preserve">Strengthen existing (dvtpyvhxsj - Yes) circular/take-back programs and explore design-for-disassembly to maximize recyclability and material recovery at End-of-Life, further reducing the net EoL emissions.</w:t>
      </w:r>
    </w:p>
    <w:p>
      <w:pPr>
        <w:numPr>
          <w:ilvl w:val="0"/>
          <w:numId w:val="1020"/>
        </w:numPr>
        <w:pStyle w:val="Compact"/>
      </w:pPr>
      <w:r>
        <w:rPr>
          <w:bCs/>
          <w:b/>
        </w:rPr>
        <w:t xml:space="preserve">Renewable Energy Adoption:</w:t>
      </w:r>
      <w:r>
        <w:t xml:space="preserve"> </w:t>
      </w:r>
      <w:r>
        <w:t xml:space="preserve">Continue to increase renewable energy usage at manufacturing facilities (zpvvhrqwlf - 50%) and encourage renewable energy adoption throughout the supply chain.</w:t>
      </w:r>
    </w:p>
    <w:p>
      <w:r>
        <w:pict>
          <v:rect style="width:0;height:1.5pt" o:hralign="center" o:hrstd="t" o:hr="t"/>
        </w:pict>
      </w:r>
    </w:p>
    <w:p>
      <w:pPr>
        <w:pStyle w:val="FirstParagraph"/>
      </w:pPr>
      <w:r>
        <w:t xml:space="preserve">Confidential - Internal Use Only | Page 1 of X</w:t>
      </w:r>
    </w:p>
    <w:p>
      <w:pPr>
        <w:pStyle w:val="BodyText"/>
      </w:pPr>
      <w:r>
        <w:t xml:space="preserve">© 2026 vkswqhkynw.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mkfyzfiopq</dc:title>
  <dc:creator/>
  <dc:description>Detailed Product Carbon Footprint (PCF) analysis for mkfyzfiopq, performed by Senior Sustainability Consultant kxtlmwvpqv for vkswqhkynw, adhering to GHG Protocol including 2026 updates on LSR and Scope 3.</dc:description>
  <dc:language>en</dc:language>
  <cp:keywords/>
  <dcterms:created xsi:type="dcterms:W3CDTF">2026-07-15T06:38:35Z</dcterms:created>
  <dcterms:modified xsi:type="dcterms:W3CDTF">2026-07-15T06:38:35Z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