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mjjrqupdlk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mjjrqupdlk</w:t>
      </w:r>
    </w:p>
    <w:p>
      <w:pPr>
        <w:pStyle w:val="BodyText"/>
      </w:pPr>
      <w:r>
        <w:t xml:space="preserve">**Company:** rqmyxdimgm</w:t>
      </w:r>
    </w:p>
    <w:p>
      <w:pPr>
        <w:pStyle w:val="BodyText"/>
      </w:pPr>
      <w:r>
        <w:t xml:space="preserve">**Accounting Standard:** GHG Protocol</w:t>
      </w:r>
    </w:p>
    <w:p>
      <w:pPr>
        <w:pStyle w:val="BodyText"/>
      </w:pPr>
      <w:r>
        <w:t xml:space="preserve">**Prepared by:** wnkxyvtezj</w:t>
      </w:r>
    </w:p>
    <w:p>
      <w:pPr>
        <w:pStyle w:val="BodyText"/>
      </w:pPr>
      <w:r>
        <w:t xml:space="preserve">Senior Sustainability Consultant</w:t>
      </w:r>
    </w:p>
    <w:p>
      <w:pPr>
        <w:pStyle w:val="BodyText"/>
      </w:pPr>
      <w:r>
        <w:rPr>
          <w:iCs/>
          <w:i/>
        </w:rPr>
        <w:t xml:space="preserve">Disclaimer: This report is generated based on available data, industry standards, and illustrative values for unspecified parameters. Actual emissions may vary based on specific operational details and real-world data.</w:t>
      </w:r>
    </w:p>
    <w:bookmarkEnd w:id="20"/>
    <w:bookmarkStart w:id="44" w:name="X494045017d80bacd7639295513db0d9c665b0ea"/>
    <w:p>
      <w:pPr>
        <w:pStyle w:val="Heading1"/>
      </w:pPr>
      <w:r>
        <w:t xml:space="preserve">Product Carbon Footprint Analysis Report: mjjrqupdlk</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wnkxyvtezj</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mjjrqupdlk</w:t>
      </w:r>
      <w:r>
        <w:t xml:space="preserve">, manufactured by</w:t>
      </w:r>
      <w:r>
        <w:t xml:space="preserve"> </w:t>
      </w:r>
      <w:r>
        <w:rPr>
          <w:bCs/>
          <w:b/>
        </w:rPr>
        <w:t xml:space="preserve">rqmyxdimgm</w:t>
      </w:r>
      <w:r>
        <w:t xml:space="preserve">. The analysis adheres strictly to the GHG Protocol, including the 2026 Land Sector and Removals (LSR) Standard and aims for at least 95% coverage for Scope 3 reporting. The goal is to quantify greenhouse gas (GHG) emissions across the product\'s lifecycle, identify emission hotspots, and provide a foundation for reduction strategies. Due to the placeholder nature of some input parameters (e.g., \'hldfmywd\', \'otrmntxoef\', \'oqsowrhtkg\'), illustrative values consistent with industry averages and the specified formats have been used to demonstrate the methodology and calculations. These illustrative values are clearly indicated where applied.</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first step in any PCF analysis is to clearly define the scope, ensuring consistency and comparability of results.</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 mjjrqupdlk. All emissions are calculated per this unit.</w:t>
      </w:r>
    </w:p>
    <w:p>
      <w:pPr>
        <w:numPr>
          <w:ilvl w:val="0"/>
          <w:numId w:val="1001"/>
        </w:numPr>
        <w:pStyle w:val="Compact"/>
      </w:pPr>
      <w:r>
        <w:rPr>
          <w:bCs/>
          <w:b/>
        </w:rPr>
        <w:t xml:space="preserve">System Boundary:</w:t>
      </w:r>
      <w:r>
        <w:t xml:space="preserve"> </w:t>
      </w:r>
      <w:r>
        <w:t xml:space="preserve">A "factory_gate" system boundary is applied, which typically covers raw material extraction, manufacturing, and transport to the factory gate. However, as per the detailed analysis request, the scope has been expanded to a "Cradle-to-Grave" approach for a comprehensive understanding, including the use phase and end-of-life, alongside upstream and factory-gate processes. This aligns with GHG Protocol\'s product standard, which encourages life cycle thinking.</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primary supply chain focus on</w:t>
      </w:r>
      <w:r>
        <w:t xml:space="preserve"> </w:t>
      </w:r>
      <w:r>
        <w:rPr>
          <w:bCs/>
          <w:b/>
        </w:rPr>
        <w:t xml:space="preserve">Europe</w:t>
      </w:r>
      <w:r>
        <w:t xml:space="preserve">. The use phase and end-of-life are considered to have a global average impact unless specified.</w:t>
      </w:r>
    </w:p>
    <w:p>
      <w:pPr>
        <w:numPr>
          <w:ilvl w:val="0"/>
          <w:numId w:val="1001"/>
        </w:numPr>
        <w:pStyle w:val="Compact"/>
      </w:pPr>
      <w:r>
        <w:rPr>
          <w:bCs/>
          <w:b/>
        </w:rPr>
        <w:t xml:space="preserve">Accounting Standard:</w:t>
      </w:r>
      <w:r>
        <w:t xml:space="preserve"> </w:t>
      </w:r>
      <w:r>
        <w:t xml:space="preserve">The analysis strictly follows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the value chain, both upstream and downstream). The 2026 Land Sector and Removals (LSR) Standard is also applied for land use and carbon removals.</w:t>
      </w:r>
    </w:p>
    <w:p>
      <w:pPr>
        <w:numPr>
          <w:ilvl w:val="0"/>
          <w:numId w:val="1001"/>
        </w:numPr>
        <w:pStyle w:val="Compact"/>
      </w:pPr>
      <w:r>
        <w:rPr>
          <w:bCs/>
          <w:b/>
        </w:rPr>
        <w:t xml:space="preserve">Allocation:</w:t>
      </w:r>
      <w:r>
        <w:t xml:space="preserve"> </w:t>
      </w:r>
      <w:r>
        <w:t xml:space="preserve">Emissions are allocated to the functional unit based on mass and economic allocation principles where co-products or by-products exist, though for a single product, direct attribution is mostly used.</w:t>
      </w:r>
    </w:p>
    <w:p>
      <w:r>
        <w:pict>
          <v:rect style="width:0;height:1.5pt" o:hralign="center" o:hrstd="t" o:hr="t"/>
        </w:pict>
      </w:r>
    </w:p>
    <w:bookmarkEnd w:id="22"/>
    <w:bookmarkStart w:id="28"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product\'s lifecycle stages and the data collected (or assumed for illustrative purposes) for each stage. The approach integrates primary data (where provided or illustrated) and secondary data (industry-standard emission factors).</w:t>
      </w:r>
    </w:p>
    <w:bookmarkStart w:id="23" w:name="detailed-bill-of-materials-bom"/>
    <w:p>
      <w:pPr>
        <w:pStyle w:val="Heading3"/>
      </w:pPr>
      <w:r>
        <w:t xml:space="preserve">Detailed Bill of Materials (BOM)</w:t>
      </w:r>
    </w:p>
    <w:p>
      <w:pPr>
        <w:pStyle w:val="FirstParagraph"/>
      </w:pPr>
      <w:r>
        <w:t xml:space="preserve">The detailed Bill of Materials (BOM) is crucial for calculating the upstream emissions associated with raw material extraction and production. The parameter</w:t>
      </w:r>
      <w:r>
        <w:t xml:space="preserve"> </w:t>
      </w:r>
      <w:r>
        <w:rPr>
          <w:rStyle w:val="VerbatimChar"/>
        </w:rPr>
        <w:t xml:space="preserve">hldfmywd</w:t>
      </w:r>
      <w:r>
        <w:t xml:space="preserve"> </w:t>
      </w:r>
      <w:r>
        <w:t xml:space="preserve">was provided as a placeholder. For illustrative purposes, the following BOM data is assumed, adhering to the specified format (ID, Description, Category, Process, Qty, Unit, Emission Factor, Total Carbon):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Plastic Casing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3.1</w:t>
            </w:r>
          </w:p>
        </w:tc>
        <w:tc>
          <w:tcPr/>
          <w:p>
            <w:pPr>
              <w:pStyle w:val="Compact"/>
              <w:jc w:val="left"/>
            </w:pPr>
            <w:r>
              <w:t xml:space="preserve">0.62</w:t>
            </w:r>
          </w:p>
        </w:tc>
      </w:tr>
      <w:tr>
        <w:tc>
          <w:tcPr/>
          <w:p>
            <w:pPr>
              <w:pStyle w:val="Compact"/>
              <w:jc w:val="left"/>
            </w:pPr>
            <w:r>
              <w:t xml:space="preserve">M2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14.0 (Illustrative Global Primary)</w:t>
            </w:r>
          </w:p>
        </w:tc>
        <w:tc>
          <w:tcPr/>
          <w:p>
            <w:pPr>
              <w:pStyle w:val="Compact"/>
              <w:jc w:val="left"/>
            </w:pPr>
            <w:r>
              <w:t xml:space="preserve">1.40</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 (Illustrative Electronics)</w:t>
            </w:r>
          </w:p>
        </w:tc>
        <w:tc>
          <w:tcPr/>
          <w:p>
            <w:pPr>
              <w:pStyle w:val="Compact"/>
              <w:jc w:val="left"/>
            </w:pPr>
            <w:r>
              <w:t xml:space="preserve">0.25</w:t>
            </w:r>
          </w:p>
        </w:tc>
      </w:tr>
    </w:tbl>
    <w:p>
      <w:pPr>
        <w:pStyle w:val="BodyText"/>
      </w:pPr>
      <w:r>
        <w:rPr>
          <w:iCs/>
          <w:i/>
        </w:rPr>
        <w:t xml:space="preserve">Note: The "Total Carbon" values in the table are calculated as Qty * Emission Factor. Emission factors are illustrative and based on general industry averages from the cited sources.</w:t>
      </w:r>
    </w:p>
    <w:bookmarkEnd w:id="23"/>
    <w:bookmarkStart w:id="24" w:name="X9d8477f8bfa1e817f67049147089dfd6e3060a0"/>
    <w:p>
      <w:pPr>
        <w:pStyle w:val="Heading3"/>
      </w:pPr>
      <w:r>
        <w:t xml:space="preserve">Production Phase Data (Final Production Country: China)</w:t>
      </w:r>
    </w:p>
    <w:p>
      <w:pPr>
        <w:numPr>
          <w:ilvl w:val="0"/>
          <w:numId w:val="1002"/>
        </w:numPr>
        <w:pStyle w:val="Compact"/>
      </w:pPr>
      <w:r>
        <w:rPr>
          <w:bCs/>
          <w:b/>
        </w:rPr>
        <w:t xml:space="preserve">Energy Intensity (</w:t>
      </w:r>
      <w:r>
        <w:rPr>
          <w:rStyle w:val="VerbatimChar"/>
          <w:bCs/>
          <w:b/>
        </w:rPr>
        <w:t xml:space="preserve">korsjjnvri</w:t>
      </w:r>
      <w:r>
        <w:rPr>
          <w:bCs/>
          <w:b/>
        </w:rPr>
        <w:t xml:space="preserve">):</w:t>
      </w:r>
      <w:r>
        <w:t xml:space="preserve"> </w:t>
      </w:r>
      <w:r>
        <w:t xml:space="preserve">10 kWh/unit (Illustrative value).</w:t>
      </w:r>
    </w:p>
    <w:p>
      <w:pPr>
        <w:numPr>
          <w:ilvl w:val="0"/>
          <w:numId w:val="1002"/>
        </w:numPr>
        <w:pStyle w:val="Compact"/>
      </w:pPr>
      <w:r>
        <w:rPr>
          <w:bCs/>
          <w:b/>
        </w:rPr>
        <w:t xml:space="preserve">Renewable Energy Usage (</w:t>
      </w:r>
      <w:r>
        <w:rPr>
          <w:rStyle w:val="VerbatimChar"/>
          <w:bCs/>
          <w:b/>
        </w:rPr>
        <w:t xml:space="preserve">oqsowrhtkg</w:t>
      </w:r>
      <w:r>
        <w:rPr>
          <w:bCs/>
          <w:b/>
        </w:rPr>
        <w:t xml:space="preserve">):</w:t>
      </w:r>
      <w:r>
        <w:t xml:space="preserve"> </w:t>
      </w:r>
      <w:r>
        <w:t xml:space="preserve">70% (Illustrative value). This implies 30% of energy is from the conventional grid.</w:t>
      </w:r>
    </w:p>
    <w:p>
      <w:pPr>
        <w:numPr>
          <w:ilvl w:val="0"/>
          <w:numId w:val="1002"/>
        </w:numPr>
        <w:pStyle w:val="Compact"/>
      </w:pPr>
      <w:r>
        <w:rPr>
          <w:bCs/>
          <w:b/>
        </w:rPr>
        <w:t xml:space="preserve">Emission Factor for China Grid Electricity:</w:t>
      </w:r>
      <w:r>
        <w:t xml:space="preserve"> </w:t>
      </w:r>
      <w:r>
        <w:t xml:space="preserve">0.58 kg CO2e/kWh (Illustrative average from IEA and MEE data for 2021).</w:t>
      </w:r>
    </w:p>
    <w:p>
      <w:pPr>
        <w:numPr>
          <w:ilvl w:val="0"/>
          <w:numId w:val="1002"/>
        </w:numPr>
        <w:pStyle w:val="Compact"/>
      </w:pPr>
      <w:r>
        <w:rPr>
          <w:bCs/>
          <w:b/>
        </w:rPr>
        <w:t xml:space="preserve">Emission Factor for Renewable Electricity:</w:t>
      </w:r>
      <w:r>
        <w:t xml:space="preserve"> </w:t>
      </w:r>
      <w:r>
        <w:t xml:space="preserve">0.0 kg CO2e/kWh (Assumed for purchased renewable energy).</w:t>
      </w:r>
    </w:p>
    <w:bookmarkEnd w:id="24"/>
    <w:bookmarkStart w:id="25" w:name="Xa0335068f64335cd678ec489893f87b8ac41343"/>
    <w:p>
      <w:pPr>
        <w:pStyle w:val="Heading3"/>
      </w:pPr>
      <w:r>
        <w:t xml:space="preserve">Transport Logistics Data (Supply Chain Focus: Europe Focused)</w:t>
      </w:r>
    </w:p>
    <w:p>
      <w:pPr>
        <w:pStyle w:val="FirstParagraph"/>
      </w:pPr>
      <w:r>
        <w:t xml:space="preserve">The parameters</w:t>
      </w:r>
      <w:r>
        <w:t xml:space="preserve"> </w:t>
      </w:r>
      <w:r>
        <w:rPr>
          <w:rStyle w:val="VerbatimChar"/>
        </w:rPr>
        <w:t xml:space="preserve">Select Mode</w:t>
      </w:r>
      <w:r>
        <w:t xml:space="preserve">,</w:t>
      </w:r>
      <w:r>
        <w:t xml:space="preserve"> </w:t>
      </w:r>
      <w:r>
        <w:rPr>
          <w:rStyle w:val="VerbatimChar"/>
        </w:rPr>
        <w:t xml:space="preserve">otrmntxoef</w:t>
      </w:r>
      <w:r>
        <w:t xml:space="preserve">, and</w:t>
      </w:r>
      <w:r>
        <w:t xml:space="preserve"> </w:t>
      </w:r>
      <w:r>
        <w:rPr>
          <w:rStyle w:val="VerbatimChar"/>
        </w:rPr>
        <w:t xml:space="preserve">Delivery Type</w:t>
      </w:r>
      <w:r>
        <w:t xml:space="preserve"> </w:t>
      </w:r>
      <w:r>
        <w:t xml:space="preserve">were provided as placeholders. Illustrative values are used:</w:t>
      </w:r>
    </w:p>
    <w:p>
      <w:pPr>
        <w:numPr>
          <w:ilvl w:val="0"/>
          <w:numId w:val="1003"/>
        </w:numPr>
        <w:pStyle w:val="Compact"/>
      </w:pPr>
      <w:r>
        <w:rPr>
          <w:bCs/>
          <w:b/>
        </w:rPr>
        <w:t xml:space="preserve">Primary Transport Mode (Inbound Materials):</w:t>
      </w:r>
      <w:r>
        <w:t xml:space="preserve"> </w:t>
      </w:r>
      <w:r>
        <w:t xml:space="preserve">Road freight, Heavy Goods Vehicle (HGV).</w:t>
      </w:r>
    </w:p>
    <w:p>
      <w:pPr>
        <w:numPr>
          <w:ilvl w:val="0"/>
          <w:numId w:val="1003"/>
        </w:numPr>
        <w:pStyle w:val="Compact"/>
      </w:pPr>
      <w:r>
        <w:rPr>
          <w:bCs/>
          <w:b/>
        </w:rPr>
        <w:t xml:space="preserve">Primary Transport Distance (</w:t>
      </w:r>
      <w:r>
        <w:rPr>
          <w:rStyle w:val="VerbatimChar"/>
          <w:bCs/>
          <w:b/>
        </w:rPr>
        <w:t xml:space="preserve">otrmntxoef</w:t>
      </w:r>
      <w:r>
        <w:rPr>
          <w:bCs/>
          <w:b/>
        </w:rPr>
        <w:t xml:space="preserve">):</w:t>
      </w:r>
      <w:r>
        <w:t xml:space="preserve"> </w:t>
      </w:r>
      <w:r>
        <w:t xml:space="preserve">2000 km (Illustrative long-haul distance for European supply chain).</w:t>
      </w:r>
    </w:p>
    <w:p>
      <w:pPr>
        <w:numPr>
          <w:ilvl w:val="0"/>
          <w:numId w:val="1003"/>
        </w:numPr>
        <w:pStyle w:val="Compact"/>
      </w:pPr>
      <w:r>
        <w:rPr>
          <w:bCs/>
          <w:b/>
        </w:rPr>
        <w:t xml:space="preserve">Primary Transport Emission Factor (HGV &gt;20t):</w:t>
      </w:r>
      <w:r>
        <w:t xml:space="preserve"> </w:t>
      </w:r>
      <w:r>
        <w:t xml:space="preserve">0.092 kg CO2e/tonne-km (GLEC Framework).</w:t>
      </w:r>
    </w:p>
    <w:p>
      <w:pPr>
        <w:numPr>
          <w:ilvl w:val="0"/>
          <w:numId w:val="1003"/>
        </w:numPr>
        <w:pStyle w:val="Compact"/>
      </w:pPr>
      <w:r>
        <w:rPr>
          <w:bCs/>
          <w:b/>
        </w:rPr>
        <w:t xml:space="preserve">Assumed Product Weight for Transport:</w:t>
      </w:r>
      <w:r>
        <w:t xml:space="preserve"> </w:t>
      </w:r>
      <w:r>
        <w:t xml:space="preserve">0.37 kg (sum of BOM quantities: 0.2 + 0.1 + 0.05). For tonne-km calculation, this is 0.00037 tonnes.</w:t>
      </w:r>
    </w:p>
    <w:p>
      <w:pPr>
        <w:numPr>
          <w:ilvl w:val="0"/>
          <w:numId w:val="1003"/>
        </w:numPr>
        <w:pStyle w:val="Compact"/>
      </w:pPr>
      <w:r>
        <w:rPr>
          <w:bCs/>
          <w:b/>
        </w:rPr>
        <w:t xml:space="preserve">Last-Mile Delivery Channel (</w:t>
      </w:r>
      <w:r>
        <w:rPr>
          <w:rStyle w:val="VerbatimChar"/>
          <w:bCs/>
          <w:b/>
        </w:rPr>
        <w:t xml:space="preserve">Delivery Type</w:t>
      </w:r>
      <w:r>
        <w:rPr>
          <w:bCs/>
          <w:b/>
        </w:rPr>
        <w:t xml:space="preserve">):</w:t>
      </w:r>
      <w:r>
        <w:t xml:space="preserve"> </w:t>
      </w:r>
      <w:r>
        <w:t xml:space="preserve">Light Commercial Vehicle (LCV) to customer.</w:t>
      </w:r>
    </w:p>
    <w:p>
      <w:pPr>
        <w:numPr>
          <w:ilvl w:val="0"/>
          <w:numId w:val="1003"/>
        </w:numPr>
        <w:pStyle w:val="Compact"/>
      </w:pPr>
      <w:r>
        <w:rPr>
          <w:bCs/>
          <w:b/>
        </w:rPr>
        <w:t xml:space="preserve">Last-Mile Delivery Distance:</w:t>
      </w:r>
      <w:r>
        <w:t xml:space="preserve"> </w:t>
      </w:r>
      <w:r>
        <w:t xml:space="preserve">50 km per unit (Illustrative value).</w:t>
      </w:r>
    </w:p>
    <w:p>
      <w:pPr>
        <w:numPr>
          <w:ilvl w:val="0"/>
          <w:numId w:val="1003"/>
        </w:numPr>
        <w:pStyle w:val="Compact"/>
      </w:pPr>
      <w:r>
        <w:rPr>
          <w:bCs/>
          <w:b/>
        </w:rPr>
        <w:t xml:space="preserve">Last-Mile Delivery Emission Factor (LCV):</w:t>
      </w:r>
      <w:r>
        <w:t xml:space="preserve"> </w:t>
      </w:r>
      <w:r>
        <w:t xml:space="preserve">0.2 kg CO2e/km (Illustrative). This factor is applied per vehicle-km for the delivery of one unit.</w:t>
      </w:r>
    </w:p>
    <w:bookmarkEnd w:id="25"/>
    <w:bookmarkStart w:id="26" w:name="use-phase-data"/>
    <w:p>
      <w:pPr>
        <w:pStyle w:val="Heading3"/>
      </w:pPr>
      <w:r>
        <w:t xml:space="preserve">Use Phase Data</w:t>
      </w:r>
    </w:p>
    <w:p>
      <w:pPr>
        <w:pStyle w:val="FirstParagraph"/>
      </w:pPr>
      <w:r>
        <w:t xml:space="preserve">The parameters</w:t>
      </w:r>
      <w:r>
        <w:t xml:space="preserve"> </w:t>
      </w:r>
      <w:r>
        <w:rPr>
          <w:rStyle w:val="VerbatimChar"/>
        </w:rPr>
        <w:t xml:space="preserve">uwxrzfumqj</w:t>
      </w:r>
      <w:r>
        <w:t xml:space="preserve"> </w:t>
      </w:r>
      <w:r>
        <w:t xml:space="preserve">and</w:t>
      </w:r>
      <w:r>
        <w:t xml:space="preserve"> </w:t>
      </w:r>
      <w:r>
        <w:rPr>
          <w:rStyle w:val="VerbatimChar"/>
        </w:rPr>
        <w:t xml:space="preserve">jgiyksijvj</w:t>
      </w:r>
      <w:r>
        <w:t xml:space="preserve"> </w:t>
      </w:r>
      <w:r>
        <w:t xml:space="preserve">were provided as placeholders. Illustrative values are used:</w:t>
      </w:r>
    </w:p>
    <w:p>
      <w:pPr>
        <w:numPr>
          <w:ilvl w:val="0"/>
          <w:numId w:val="1004"/>
        </w:numPr>
        <w:pStyle w:val="Compact"/>
      </w:pPr>
      <w:r>
        <w:rPr>
          <w:bCs/>
          <w:b/>
        </w:rPr>
        <w:t xml:space="preserve">Product Lifespan (</w:t>
      </w:r>
      <w:r>
        <w:rPr>
          <w:rStyle w:val="VerbatimChar"/>
          <w:bCs/>
          <w:b/>
        </w:rPr>
        <w:t xml:space="preserve">uwxrzfumqj</w:t>
      </w:r>
      <w:r>
        <w:rPr>
          <w:bCs/>
          <w:b/>
        </w:rPr>
        <w:t xml:space="preserve">):</w:t>
      </w:r>
      <w:r>
        <w:t xml:space="preserve"> </w:t>
      </w:r>
      <w:r>
        <w:t xml:space="preserve">5 years (Illustrative value).</w:t>
      </w:r>
    </w:p>
    <w:p>
      <w:pPr>
        <w:numPr>
          <w:ilvl w:val="0"/>
          <w:numId w:val="1004"/>
        </w:numPr>
        <w:pStyle w:val="Compact"/>
      </w:pPr>
      <w:r>
        <w:rPr>
          <w:bCs/>
          <w:b/>
        </w:rPr>
        <w:t xml:space="preserve">Energy Consumption in Use (</w:t>
      </w:r>
      <w:r>
        <w:rPr>
          <w:rStyle w:val="VerbatimChar"/>
          <w:bCs/>
          <w:b/>
        </w:rPr>
        <w:t xml:space="preserve">jgiyksijvj</w:t>
      </w:r>
      <w:r>
        <w:rPr>
          <w:bCs/>
          <w:b/>
        </w:rPr>
        <w:t xml:space="preserve">):</w:t>
      </w:r>
      <w:r>
        <w:t xml:space="preserve"> </w:t>
      </w:r>
      <w:r>
        <w:t xml:space="preserve">50 kWh (Total over lifespan, illustrative value).</w:t>
      </w:r>
    </w:p>
    <w:p>
      <w:pPr>
        <w:numPr>
          <w:ilvl w:val="0"/>
          <w:numId w:val="1004"/>
        </w:numPr>
        <w:pStyle w:val="Compact"/>
      </w:pPr>
      <w:r>
        <w:rPr>
          <w:bCs/>
          <w:b/>
        </w:rPr>
        <w:t xml:space="preserve">Emission Factor for Use Phase Electricity (Europe Average):</w:t>
      </w:r>
      <w:r>
        <w:t xml:space="preserve"> </w:t>
      </w:r>
      <w:r>
        <w:t xml:space="preserve">0.30 kg CO2e/kWh (Illustrative average for EU grid mix). This assumes the product is used in Europe.</w:t>
      </w:r>
    </w:p>
    <w:bookmarkEnd w:id="26"/>
    <w:bookmarkStart w:id="27" w:name="end-of-life-eol-scenarios"/>
    <w:p>
      <w:pPr>
        <w:pStyle w:val="Heading3"/>
      </w:pPr>
      <w:r>
        <w:t xml:space="preserve">End-of-Life (EoL) Scenarios</w:t>
      </w:r>
    </w:p>
    <w:p>
      <w:pPr>
        <w:pStyle w:val="FirstParagraph"/>
      </w:pPr>
      <w:r>
        <w:t xml:space="preserve">The parameters</w:t>
      </w:r>
      <w:r>
        <w:t xml:space="preserve"> </w:t>
      </w:r>
      <w:r>
        <w:rPr>
          <w:rStyle w:val="VerbatimChar"/>
        </w:rPr>
        <w:t xml:space="preserve">wxnvywutqp</w:t>
      </w:r>
      <w:r>
        <w:t xml:space="preserve"> </w:t>
      </w:r>
      <w:r>
        <w:t xml:space="preserve">and</w:t>
      </w:r>
      <w:r>
        <w:t xml:space="preserve"> </w:t>
      </w:r>
      <w:r>
        <w:rPr>
          <w:rStyle w:val="VerbatimChar"/>
        </w:rPr>
        <w:t xml:space="preserve">gwmswlrvfx</w:t>
      </w:r>
      <w:r>
        <w:t xml:space="preserve"> </w:t>
      </w:r>
      <w:r>
        <w:t xml:space="preserve">were provided as placeholders. Illustrative values are used:</w:t>
      </w:r>
    </w:p>
    <w:p>
      <w:pPr>
        <w:numPr>
          <w:ilvl w:val="0"/>
          <w:numId w:val="1005"/>
        </w:numPr>
        <w:pStyle w:val="Compact"/>
      </w:pPr>
      <w:r>
        <w:rPr>
          <w:bCs/>
          <w:b/>
        </w:rPr>
        <w:t xml:space="preserve">Recyclability Percentage (</w:t>
      </w:r>
      <w:r>
        <w:rPr>
          <w:rStyle w:val="VerbatimChar"/>
          <w:bCs/>
          <w:b/>
        </w:rPr>
        <w:t xml:space="preserve">wxnvywutqp</w:t>
      </w:r>
      <w:r>
        <w:rPr>
          <w:bCs/>
          <w:b/>
        </w:rPr>
        <w:t xml:space="preserve">):</w:t>
      </w:r>
      <w:r>
        <w:t xml:space="preserve"> </w:t>
      </w:r>
      <w:r>
        <w:t xml:space="preserve">80% (Illustrative value). This applies to the total material mass of the product.</w:t>
      </w:r>
    </w:p>
    <w:p>
      <w:pPr>
        <w:numPr>
          <w:ilvl w:val="0"/>
          <w:numId w:val="1005"/>
        </w:numPr>
        <w:pStyle w:val="Compact"/>
      </w:pPr>
      <w:r>
        <w:rPr>
          <w:bCs/>
          <w:b/>
        </w:rPr>
        <w:t xml:space="preserve">Circular/Take-back Programs (</w:t>
      </w:r>
      <w:r>
        <w:rPr>
          <w:rStyle w:val="VerbatimChar"/>
          <w:bCs/>
          <w:b/>
        </w:rPr>
        <w:t xml:space="preserve">gwmswlrvfx</w:t>
      </w:r>
      <w:r>
        <w:rPr>
          <w:bCs/>
          <w:b/>
        </w:rPr>
        <w:t xml:space="preserve">):</w:t>
      </w:r>
      <w:r>
        <w:t xml:space="preserve"> </w:t>
      </w:r>
      <w:r>
        <w:t xml:space="preserve">Product take-back scheme with material recovery (Illustrative description).</w:t>
      </w:r>
    </w:p>
    <w:p>
      <w:pPr>
        <w:numPr>
          <w:ilvl w:val="0"/>
          <w:numId w:val="1005"/>
        </w:numPr>
        <w:pStyle w:val="Compact"/>
      </w:pPr>
      <w:r>
        <w:rPr>
          <w:bCs/>
          <w:b/>
        </w:rPr>
        <w:t xml:space="preserve">Landfill Emission Factor (Mixed Waste):</w:t>
      </w:r>
      <w:r>
        <w:t xml:space="preserve"> </w:t>
      </w:r>
      <w:r>
        <w:t xml:space="preserve">0.7 kg CO2e/kg (Illustrative).</w:t>
      </w:r>
    </w:p>
    <w:p>
      <w:pPr>
        <w:numPr>
          <w:ilvl w:val="0"/>
          <w:numId w:val="1005"/>
        </w:numPr>
        <w:pStyle w:val="Compact"/>
      </w:pPr>
      <w:r>
        <w:rPr>
          <w:bCs/>
          <w:b/>
        </w:rPr>
        <w:t xml:space="preserve">Recycling Credit - Plastic (Avoided Emissions):</w:t>
      </w:r>
      <w:r>
        <w:t xml:space="preserve"> </w:t>
      </w:r>
      <w:r>
        <w:t xml:space="preserve">-1.5 kg CO2e/kg (Illustrative avoided emissions, reflecting less energy-intensive recycled material production).</w:t>
      </w:r>
    </w:p>
    <w:p>
      <w:pPr>
        <w:numPr>
          <w:ilvl w:val="0"/>
          <w:numId w:val="1005"/>
        </w:numPr>
        <w:pStyle w:val="Compact"/>
      </w:pPr>
      <w:r>
        <w:rPr>
          <w:bCs/>
          <w:b/>
        </w:rPr>
        <w:t xml:space="preserve">Recycling Credit - Aluminum (Avoided Emissions):</w:t>
      </w:r>
      <w:r>
        <w:t xml:space="preserve"> </w:t>
      </w:r>
      <w:r>
        <w:t xml:space="preserve">-10.0 kg CO2e/kg (Illustrative avoided emissions, reflecting significant energy savings from recycling primary aluminum).</w:t>
      </w:r>
    </w:p>
    <w:p>
      <w:pPr>
        <w:numPr>
          <w:ilvl w:val="0"/>
          <w:numId w:val="1005"/>
        </w:numPr>
        <w:pStyle w:val="Compact"/>
      </w:pPr>
      <w:r>
        <w:rPr>
          <w:bCs/>
          <w:b/>
        </w:rPr>
        <w:t xml:space="preserve">Non-Recycled Waste:</w:t>
      </w:r>
      <w:r>
        <w:t xml:space="preserve"> </w:t>
      </w:r>
      <w:r>
        <w:t xml:space="preserve">20% (100% - Recyclability Percentage). This portion is assumed to go to landfill.</w:t>
      </w:r>
    </w:p>
    <w:p>
      <w:r>
        <w:pict>
          <v:rect style="width:0;height:1.5pt" o:hralign="center" o:hrstd="t" o:hr="t"/>
        </w:pict>
      </w:r>
    </w:p>
    <w:bookmarkEnd w:id="27"/>
    <w:bookmarkEnd w:id="28"/>
    <w:bookmarkStart w:id="38" w:name="calculate-emissions"/>
    <w:p>
      <w:pPr>
        <w:pStyle w:val="Heading2"/>
      </w:pPr>
      <w:r>
        <w:t xml:space="preserve">4. Calculate Emissions</w:t>
      </w:r>
    </w:p>
    <w:p>
      <w:pPr>
        <w:pStyle w:val="FirstParagraph"/>
      </w:pPr>
      <w:r>
        <w:t xml:space="preserve">Emissions are calculated for each lifecycle stage, categorized according to the GHG Protocol Scopes. Activity data is multiplied by relevant emission factors to determine CO2e emissions.</w:t>
      </w:r>
    </w:p>
    <w:bookmarkStart w:id="31" w:name="Xa6a9465b85fcf21cb7ab22abf83e276bc62499e"/>
    <w:p>
      <w:pPr>
        <w:pStyle w:val="Heading3"/>
      </w:pPr>
      <w:r>
        <w:t xml:space="preserve">Scope 3: Upstream Emissions (Cradle-to-Gate - Materials &amp; Transport)</w:t>
      </w:r>
    </w:p>
    <w:bookmarkStart w:id="29" w:name="materials-acquisition-processing"/>
    <w:p>
      <w:pPr>
        <w:pStyle w:val="Heading4"/>
      </w:pPr>
      <w:r>
        <w:t xml:space="preserve">Materials Acquisition &amp; Processing</w:t>
      </w:r>
    </w:p>
    <w:p>
      <w:pPr>
        <w:pStyle w:val="FirstParagraph"/>
      </w:pPr>
      <w:r>
        <w:t xml:space="preserve">Total raw material emissions are calculated directly from the illustrative BOM data provided:</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Item ID</w:t>
            </w:r>
          </w:p>
        </w:tc>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CO2e (kg)</w:t>
            </w:r>
          </w:p>
        </w:tc>
      </w:tr>
      <w:tr>
        <w:tc>
          <w:tcPr/>
          <w:p>
            <w:pPr>
              <w:pStyle w:val="Compact"/>
              <w:jc w:val="left"/>
            </w:pPr>
            <w:r>
              <w:t xml:space="preserve">M1</w:t>
            </w:r>
          </w:p>
        </w:tc>
        <w:tc>
          <w:tcPr/>
          <w:p>
            <w:pPr>
              <w:pStyle w:val="Compact"/>
              <w:jc w:val="left"/>
            </w:pPr>
            <w:r>
              <w:t xml:space="preserve">Plastic Casing (ABS)</w:t>
            </w:r>
          </w:p>
        </w:tc>
        <w:tc>
          <w:tcPr/>
          <w:p>
            <w:pPr>
              <w:pStyle w:val="Compact"/>
              <w:jc w:val="left"/>
            </w:pPr>
            <w:r>
              <w:t xml:space="preserve">0.2</w:t>
            </w:r>
          </w:p>
        </w:tc>
        <w:tc>
          <w:tcPr/>
          <w:p>
            <w:pPr>
              <w:pStyle w:val="Compact"/>
              <w:jc w:val="left"/>
            </w:pPr>
            <w:r>
              <w:t xml:space="preserve">3.1</w:t>
            </w:r>
          </w:p>
        </w:tc>
        <w:tc>
          <w:tcPr/>
          <w:p>
            <w:pPr>
              <w:pStyle w:val="Compact"/>
              <w:jc w:val="left"/>
            </w:pPr>
            <w:r>
              <w:t xml:space="preserve">0.62</w:t>
            </w:r>
          </w:p>
        </w:tc>
      </w:tr>
      <w:tr>
        <w:tc>
          <w:tcPr/>
          <w:p>
            <w:pPr>
              <w:pStyle w:val="Compact"/>
              <w:jc w:val="left"/>
            </w:pPr>
            <w:r>
              <w:t xml:space="preserve">M2</w:t>
            </w:r>
          </w:p>
        </w:tc>
        <w:tc>
          <w:tcPr/>
          <w:p>
            <w:pPr>
              <w:pStyle w:val="Compact"/>
              <w:jc w:val="left"/>
            </w:pPr>
            <w:r>
              <w:t xml:space="preserve">Aluminum Frame</w:t>
            </w:r>
          </w:p>
        </w:tc>
        <w:tc>
          <w:tcPr/>
          <w:p>
            <w:pPr>
              <w:pStyle w:val="Compact"/>
              <w:jc w:val="left"/>
            </w:pPr>
            <w:r>
              <w:t xml:space="preserve">0.1</w:t>
            </w:r>
          </w:p>
        </w:tc>
        <w:tc>
          <w:tcPr/>
          <w:p>
            <w:pPr>
              <w:pStyle w:val="Compact"/>
              <w:jc w:val="left"/>
            </w:pPr>
            <w:r>
              <w:t xml:space="preserve">14.0</w:t>
            </w:r>
          </w:p>
        </w:tc>
        <w:tc>
          <w:tcPr/>
          <w:p>
            <w:pPr>
              <w:pStyle w:val="Compact"/>
              <w:jc w:val="left"/>
            </w:pPr>
            <w:r>
              <w:t xml:space="preserve">1.40</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0.05</w:t>
            </w:r>
          </w:p>
        </w:tc>
        <w:tc>
          <w:tcPr/>
          <w:p>
            <w:pPr>
              <w:pStyle w:val="Compact"/>
              <w:jc w:val="left"/>
            </w:pPr>
            <w:r>
              <w:t xml:space="preserve">5.0</w:t>
            </w:r>
          </w:p>
        </w:tc>
        <w:tc>
          <w:tcPr/>
          <w:p>
            <w:pPr>
              <w:pStyle w:val="Compact"/>
              <w:jc w:val="left"/>
            </w:pPr>
            <w:r>
              <w:t xml:space="preserve">0.25</w:t>
            </w:r>
          </w:p>
        </w:tc>
      </w:tr>
      <w:tr>
        <w:tc>
          <w:tcPr>
            <w:gridSpan w:val="4"/>
          </w:tcPr>
          <w:p>
            <w:pPr>
              <w:pStyle w:val="Compact"/>
              <w:jc w:val="left"/>
            </w:pPr>
            <w:r>
              <w:t xml:space="preserve">Total Material Emissions (Scope 3)</w:t>
            </w:r>
          </w:p>
        </w:tc>
        <w:tc>
          <w:tcPr/>
          <w:p>
            <w:pPr>
              <w:pStyle w:val="Compact"/>
              <w:jc w:val="left"/>
            </w:pPr>
            <w:r>
              <w:t xml:space="preserve">2.27</w:t>
            </w:r>
          </w:p>
        </w:tc>
      </w:tr>
    </w:tbl>
    <w:bookmarkEnd w:id="29"/>
    <w:bookmarkStart w:id="30" w:name="X7b9420202addfaa23a128733ba70a2bc6d0e778"/>
    <w:p>
      <w:pPr>
        <w:pStyle w:val="Heading4"/>
      </w:pPr>
      <w:r>
        <w:t xml:space="preserve">Inbound Transportation (Materials to Factory)</w:t>
      </w:r>
    </w:p>
    <w:p>
      <w:pPr>
        <w:numPr>
          <w:ilvl w:val="0"/>
          <w:numId w:val="1006"/>
        </w:numPr>
        <w:pStyle w:val="Compact"/>
      </w:pPr>
      <w:r>
        <w:t xml:space="preserve">Product Weight: 0.37 kg (0.00037 tonnes)</w:t>
      </w:r>
    </w:p>
    <w:p>
      <w:pPr>
        <w:numPr>
          <w:ilvl w:val="0"/>
          <w:numId w:val="1006"/>
        </w:numPr>
        <w:pStyle w:val="Compact"/>
      </w:pPr>
      <w:r>
        <w:t xml:space="preserve">Transport Distance: 2000 km (Illustrative)</w:t>
      </w:r>
    </w:p>
    <w:p>
      <w:pPr>
        <w:numPr>
          <w:ilvl w:val="0"/>
          <w:numId w:val="1006"/>
        </w:numPr>
        <w:pStyle w:val="Compact"/>
      </w:pPr>
      <w:r>
        <w:t xml:space="preserve">Emission Factor: 0.092 kg CO2e/tonne-km</w:t>
      </w:r>
    </w:p>
    <w:p>
      <w:pPr>
        <w:numPr>
          <w:ilvl w:val="0"/>
          <w:numId w:val="1006"/>
        </w:numPr>
        <w:pStyle w:val="Compact"/>
      </w:pPr>
      <w:r>
        <w:rPr>
          <w:bCs/>
          <w:b/>
        </w:rPr>
        <w:t xml:space="preserve">Calculation:</w:t>
      </w:r>
      <w:r>
        <w:t xml:space="preserve"> </w:t>
      </w:r>
      <w:r>
        <w:t xml:space="preserve">0.00037 tonnes * 2000 km * 0.092 kg CO2e/tonne-km = 0.068 kg CO2e</w:t>
      </w:r>
    </w:p>
    <w:p>
      <w:pPr>
        <w:pStyle w:val="FirstParagraph"/>
      </w:pPr>
      <w:r>
        <w:rPr>
          <w:bCs/>
          <w:b/>
        </w:rPr>
        <w:t xml:space="preserve">Total Inbound Transport Emissions (Scope 3): 0.068 kg CO2e</w:t>
      </w:r>
    </w:p>
    <w:bookmarkEnd w:id="30"/>
    <w:bookmarkEnd w:id="31"/>
    <w:bookmarkStart w:id="32" w:name="Xc75c94760d8ca1ac9141fb1f1939aaccb789d06"/>
    <w:p>
      <w:pPr>
        <w:pStyle w:val="Heading3"/>
      </w:pPr>
      <w:r>
        <w:t xml:space="preserve">Scope 1 &amp; 2: Production Phase Emissions (Factory Gate - China)</w:t>
      </w:r>
    </w:p>
    <w:p>
      <w:pPr>
        <w:pStyle w:val="FirstParagraph"/>
      </w:pPr>
      <w:r>
        <w:t xml:space="preserve">Production emissions cover direct emissions (Scope 1) and indirect emissions from purchased electricity (Scope 2). For this analysis, Scope 1 direct process emissions are assumed to be negligible compared to energy consumption. The energy consumption is allocated based on renewable usage.</w:t>
      </w:r>
    </w:p>
    <w:p>
      <w:pPr>
        <w:numPr>
          <w:ilvl w:val="0"/>
          <w:numId w:val="1007"/>
        </w:numPr>
        <w:pStyle w:val="Compact"/>
      </w:pPr>
      <w:r>
        <w:t xml:space="preserve">Energy Intensity: 10 kWh/unit (Illustrative)</w:t>
      </w:r>
    </w:p>
    <w:p>
      <w:pPr>
        <w:numPr>
          <w:ilvl w:val="0"/>
          <w:numId w:val="1007"/>
        </w:numPr>
        <w:pStyle w:val="Compact"/>
      </w:pPr>
      <w:r>
        <w:t xml:space="preserve">Renewable Energy Usage: 70%</w:t>
      </w:r>
    </w:p>
    <w:p>
      <w:pPr>
        <w:numPr>
          <w:ilvl w:val="0"/>
          <w:numId w:val="1007"/>
        </w:numPr>
        <w:pStyle w:val="Compact"/>
      </w:pPr>
      <w:r>
        <w:t xml:space="preserve">Conventional Grid Energy: 30% of 10 kWh = 3 kWh</w:t>
      </w:r>
    </w:p>
    <w:p>
      <w:pPr>
        <w:numPr>
          <w:ilvl w:val="0"/>
          <w:numId w:val="1007"/>
        </w:numPr>
        <w:pStyle w:val="Compact"/>
      </w:pPr>
      <w:r>
        <w:t xml:space="preserve">Renewable Energy: 70% of 10 kWh = 7 kWh</w:t>
      </w:r>
    </w:p>
    <w:p>
      <w:pPr>
        <w:numPr>
          <w:ilvl w:val="0"/>
          <w:numId w:val="1007"/>
        </w:numPr>
        <w:pStyle w:val="Compact"/>
      </w:pPr>
      <w:r>
        <w:t xml:space="preserve">China Grid Emission Factor: 0.58 kg CO2e/kWh</w:t>
      </w:r>
    </w:p>
    <w:p>
      <w:pPr>
        <w:numPr>
          <w:ilvl w:val="0"/>
          <w:numId w:val="1007"/>
        </w:numPr>
        <w:pStyle w:val="Compact"/>
      </w:pPr>
      <w:r>
        <w:t xml:space="preserve">Renewable Energy Emission Factor: 0.0 kg CO2e/kWh (Assumed zero)</w:t>
      </w:r>
    </w:p>
    <w:p>
      <w:pPr>
        <w:numPr>
          <w:ilvl w:val="0"/>
          <w:numId w:val="1007"/>
        </w:numPr>
        <w:pStyle w:val="Compact"/>
      </w:pPr>
      <w:r>
        <w:rPr>
          <w:bCs/>
          <w:b/>
        </w:rPr>
        <w:t xml:space="preserve">Calculation:</w:t>
      </w:r>
      <w:r>
        <w:t xml:space="preserve"> </w:t>
      </w:r>
      <w:r>
        <w:t xml:space="preserve">(3 kWh * 0.58 kg CO2e/kWh) + (7 kWh * 0.0 kg CO2e/kWh) = 1.74 kg CO2e</w:t>
      </w:r>
    </w:p>
    <w:p>
      <w:pPr>
        <w:pStyle w:val="FirstParagraph"/>
      </w:pPr>
      <w:r>
        <w:rPr>
          <w:bCs/>
          <w:b/>
        </w:rPr>
        <w:t xml:space="preserve">Total Production Emissions (Scope 2): 1.74 kg CO2e</w:t>
      </w:r>
    </w:p>
    <w:bookmarkEnd w:id="32"/>
    <w:bookmarkStart w:id="36" w:name="scope-3-downstream-emissions"/>
    <w:p>
      <w:pPr>
        <w:pStyle w:val="Heading3"/>
      </w:pPr>
      <w:r>
        <w:t xml:space="preserve">Scope 3: Downstream Emissions</w:t>
      </w:r>
    </w:p>
    <w:bookmarkStart w:id="33" w:name="Xae40ce690e28e7cbae925084dc1251241acdcea"/>
    <w:p>
      <w:pPr>
        <w:pStyle w:val="Heading4"/>
      </w:pPr>
      <w:r>
        <w:t xml:space="preserve">Outbound Transportation (Last-Mile Delivery)</w:t>
      </w:r>
    </w:p>
    <w:p>
      <w:pPr>
        <w:numPr>
          <w:ilvl w:val="0"/>
          <w:numId w:val="1008"/>
        </w:numPr>
        <w:pStyle w:val="Compact"/>
      </w:pPr>
      <w:r>
        <w:t xml:space="preserve">Delivery Distance: 50 km/unit (Illustrative)</w:t>
      </w:r>
    </w:p>
    <w:p>
      <w:pPr>
        <w:numPr>
          <w:ilvl w:val="0"/>
          <w:numId w:val="1008"/>
        </w:numPr>
        <w:pStyle w:val="Compact"/>
      </w:pPr>
      <w:r>
        <w:t xml:space="preserve">Emission Factor (LCV): 0.2 kg CO2e/km</w:t>
      </w:r>
    </w:p>
    <w:p>
      <w:pPr>
        <w:numPr>
          <w:ilvl w:val="0"/>
          <w:numId w:val="1008"/>
        </w:numPr>
        <w:pStyle w:val="Compact"/>
      </w:pPr>
      <w:r>
        <w:rPr>
          <w:bCs/>
          <w:b/>
        </w:rPr>
        <w:t xml:space="preserve">Calculation:</w:t>
      </w:r>
      <w:r>
        <w:t xml:space="preserve"> </w:t>
      </w:r>
      <w:r>
        <w:t xml:space="preserve">50 km * 0.2 kg CO2e/km = 10.0 kg CO2e</w:t>
      </w:r>
    </w:p>
    <w:p>
      <w:pPr>
        <w:pStyle w:val="FirstParagraph"/>
      </w:pPr>
      <w:r>
        <w:rPr>
          <w:bCs/>
          <w:b/>
        </w:rPr>
        <w:t xml:space="preserve">Total Outbound Transport Emissions (Scope 3): 10.0 kg CO2e</w:t>
      </w:r>
    </w:p>
    <w:bookmarkEnd w:id="33"/>
    <w:bookmarkStart w:id="34" w:name="use-phase-emissions"/>
    <w:p>
      <w:pPr>
        <w:pStyle w:val="Heading4"/>
      </w:pPr>
      <w:r>
        <w:t xml:space="preserve">Use Phase Emissions</w:t>
      </w:r>
    </w:p>
    <w:p>
      <w:pPr>
        <w:pStyle w:val="FirstParagraph"/>
      </w:pPr>
      <w:r>
        <w:t xml:space="preserve">Emissions from the product\'s energy consumption during its lifespan.</w:t>
      </w:r>
    </w:p>
    <w:p>
      <w:pPr>
        <w:numPr>
          <w:ilvl w:val="0"/>
          <w:numId w:val="1009"/>
        </w:numPr>
        <w:pStyle w:val="Compact"/>
      </w:pPr>
      <w:r>
        <w:t xml:space="preserve">Product Lifespan: 5 years (Illustrative)</w:t>
      </w:r>
    </w:p>
    <w:p>
      <w:pPr>
        <w:numPr>
          <w:ilvl w:val="0"/>
          <w:numId w:val="1009"/>
        </w:numPr>
        <w:pStyle w:val="Compact"/>
      </w:pPr>
      <w:r>
        <w:t xml:space="preserve">Total Energy Consumption in Use: 50 kWh (Illustrative)</w:t>
      </w:r>
    </w:p>
    <w:p>
      <w:pPr>
        <w:numPr>
          <w:ilvl w:val="0"/>
          <w:numId w:val="1009"/>
        </w:numPr>
        <w:pStyle w:val="Compact"/>
      </w:pPr>
      <w:r>
        <w:t xml:space="preserve">Use Phase Electricity Emission Factor (Europe Avg): 0.30 kg CO2e/kWh</w:t>
      </w:r>
    </w:p>
    <w:p>
      <w:pPr>
        <w:numPr>
          <w:ilvl w:val="0"/>
          <w:numId w:val="1009"/>
        </w:numPr>
        <w:pStyle w:val="Compact"/>
      </w:pPr>
      <w:r>
        <w:rPr>
          <w:bCs/>
          <w:b/>
        </w:rPr>
        <w:t xml:space="preserve">Calculation:</w:t>
      </w:r>
      <w:r>
        <w:t xml:space="preserve"> </w:t>
      </w:r>
      <w:r>
        <w:t xml:space="preserve">50 kWh * 0.30 kg CO2e/kWh = 15.0 kg CO2e</w:t>
      </w:r>
    </w:p>
    <w:p>
      <w:pPr>
        <w:pStyle w:val="FirstParagraph"/>
      </w:pPr>
      <w:r>
        <w:rPr>
          <w:bCs/>
          <w:b/>
        </w:rPr>
        <w:t xml:space="preserve">Total Use Phase Emissions (Scope 3): 15.0 kg CO2e</w:t>
      </w:r>
    </w:p>
    <w:bookmarkEnd w:id="34"/>
    <w:bookmarkStart w:id="35" w:name="end-of-life-eol-emissions-and-credits"/>
    <w:p>
      <w:pPr>
        <w:pStyle w:val="Heading4"/>
      </w:pPr>
      <w:r>
        <w:t xml:space="preserve">End-of-Life (EoL) Emissions and Credits</w:t>
      </w:r>
    </w:p>
    <w:p>
      <w:pPr>
        <w:pStyle w:val="FirstParagraph"/>
      </w:pPr>
      <w:r>
        <w:t xml:space="preserve">EoL emissions account for waste disposal, while credits are given for material recovery through recycling programs.</w:t>
      </w:r>
    </w:p>
    <w:p>
      <w:pPr>
        <w:numPr>
          <w:ilvl w:val="0"/>
          <w:numId w:val="1010"/>
        </w:numPr>
        <w:pStyle w:val="Compact"/>
      </w:pPr>
      <w:r>
        <w:t xml:space="preserve">Total Material Mass: 0.37 kg (from BOM)</w:t>
      </w:r>
    </w:p>
    <w:p>
      <w:pPr>
        <w:numPr>
          <w:ilvl w:val="0"/>
          <w:numId w:val="1010"/>
        </w:numPr>
        <w:pStyle w:val="Compact"/>
      </w:pPr>
      <w:r>
        <w:t xml:space="preserve">Recyclability Percentage: 80%</w:t>
      </w:r>
    </w:p>
    <w:p>
      <w:pPr>
        <w:numPr>
          <w:ilvl w:val="0"/>
          <w:numId w:val="1010"/>
        </w:numPr>
        <w:pStyle w:val="Compact"/>
      </w:pPr>
      <w:r>
        <w:t xml:space="preserve">Mass Recycled: 0.37 kg * 0.80 = 0.296 kg</w:t>
      </w:r>
    </w:p>
    <w:p>
      <w:pPr>
        <w:numPr>
          <w:ilvl w:val="0"/>
          <w:numId w:val="1010"/>
        </w:numPr>
        <w:pStyle w:val="Compact"/>
      </w:pPr>
      <w:r>
        <w:t xml:space="preserve">Mass to Landfill: 0.37 kg * 0.20 = 0.074 kg</w:t>
      </w:r>
    </w:p>
    <w:p>
      <w:pPr>
        <w:pStyle w:val="FirstParagraph"/>
      </w:pPr>
      <w:r>
        <w:rPr>
          <w:bCs/>
          <w:b/>
        </w:rPr>
        <w:t xml:space="preserve">EoL Landfill Emissions:</w:t>
      </w:r>
    </w:p>
    <w:p>
      <w:pPr>
        <w:numPr>
          <w:ilvl w:val="0"/>
          <w:numId w:val="1011"/>
        </w:numPr>
        <w:pStyle w:val="Compact"/>
      </w:pPr>
      <w:r>
        <w:t xml:space="preserve">Mass to Landfill: 0.074 kg</w:t>
      </w:r>
    </w:p>
    <w:p>
      <w:pPr>
        <w:numPr>
          <w:ilvl w:val="0"/>
          <w:numId w:val="1011"/>
        </w:numPr>
        <w:pStyle w:val="Compact"/>
      </w:pPr>
      <w:r>
        <w:t xml:space="preserve">Landfill Emission Factor: 0.7 kg CO2e/kg</w:t>
      </w:r>
    </w:p>
    <w:p>
      <w:pPr>
        <w:numPr>
          <w:ilvl w:val="0"/>
          <w:numId w:val="1011"/>
        </w:numPr>
        <w:pStyle w:val="Compact"/>
      </w:pPr>
      <w:r>
        <w:rPr>
          <w:bCs/>
          <w:b/>
        </w:rPr>
        <w:t xml:space="preserve">Calculation:</w:t>
      </w:r>
      <w:r>
        <w:t xml:space="preserve"> </w:t>
      </w:r>
      <w:r>
        <w:t xml:space="preserve">0.074 kg * 0.7 kg CO2e/kg = 0.052 kg CO2e</w:t>
      </w:r>
    </w:p>
    <w:p>
      <w:pPr>
        <w:pStyle w:val="FirstParagraph"/>
      </w:pPr>
      <w:r>
        <w:rPr>
          <w:bCs/>
          <w:b/>
        </w:rPr>
        <w:t xml:space="preserve">EoL Recycling Credits (Avoided Emissions):</w:t>
      </w:r>
    </w:p>
    <w:p>
      <w:pPr>
        <w:pStyle w:val="BodyText"/>
      </w:pPr>
      <w:r>
        <w:t xml:space="preserve">Assuming the recycled mass composition is proportional to the BOM:</w:t>
      </w:r>
    </w:p>
    <w:p>
      <w:pPr>
        <w:numPr>
          <w:ilvl w:val="0"/>
          <w:numId w:val="1012"/>
        </w:numPr>
        <w:pStyle w:val="Compact"/>
      </w:pPr>
      <w:r>
        <w:t xml:space="preserve">Plastic Recycled: 0.2 kg * 0.80 = 0.16 kg</w:t>
      </w:r>
    </w:p>
    <w:p>
      <w:pPr>
        <w:numPr>
          <w:ilvl w:val="0"/>
          <w:numId w:val="1012"/>
        </w:numPr>
        <w:pStyle w:val="Compact"/>
      </w:pPr>
      <w:r>
        <w:t xml:space="preserve">Aluminum Recycled: 0.1 kg * 0.80 = 0.08 kg</w:t>
      </w:r>
    </w:p>
    <w:p>
      <w:pPr>
        <w:numPr>
          <w:ilvl w:val="0"/>
          <w:numId w:val="1012"/>
        </w:numPr>
        <w:pStyle w:val="Compact"/>
      </w:pPr>
      <w:r>
        <w:t xml:space="preserve">Electronics Recycled: 0.05 kg * 0.80 = 0.04 kg</w:t>
      </w:r>
    </w:p>
    <w:p>
      <w:pPr>
        <w:numPr>
          <w:ilvl w:val="0"/>
          <w:numId w:val="1012"/>
        </w:numPr>
        <w:pStyle w:val="Compact"/>
      </w:pPr>
      <w:r>
        <w:t xml:space="preserve">Plastic Recycling Credit: 0.16 kg * (-1.5 kg CO2e/kg) = -0.24 kg CO2e</w:t>
      </w:r>
    </w:p>
    <w:p>
      <w:pPr>
        <w:numPr>
          <w:ilvl w:val="0"/>
          <w:numId w:val="1012"/>
        </w:numPr>
        <w:pStyle w:val="Compact"/>
      </w:pPr>
      <w:r>
        <w:t xml:space="preserve">Aluminum Recycling Credit: 0.08 kg * (-10.0 kg CO2e/kg) = -0.80 kg CO2e</w:t>
      </w:r>
    </w:p>
    <w:p>
      <w:pPr>
        <w:numPr>
          <w:ilvl w:val="0"/>
          <w:numId w:val="1012"/>
        </w:numPr>
        <w:pStyle w:val="Compact"/>
      </w:pPr>
      <w:r>
        <w:t xml:space="preserve">Electronics Recycling (illustrative, assuming similar benefit to metals): 0.04 kg * (-5.0 kg CO2e/kg) = -0.20 kg CO2e</w:t>
      </w:r>
    </w:p>
    <w:p>
      <w:pPr>
        <w:numPr>
          <w:ilvl w:val="0"/>
          <w:numId w:val="1012"/>
        </w:numPr>
        <w:pStyle w:val="Compact"/>
      </w:pPr>
      <w:r>
        <w:rPr>
          <w:bCs/>
          <w:b/>
        </w:rPr>
        <w:t xml:space="preserve">Total Recycling Credits:</w:t>
      </w:r>
      <w:r>
        <w:t xml:space="preserve"> </w:t>
      </w:r>
      <w:r>
        <w:t xml:space="preserve">-0.24 + (-0.80) + (-0.20) = -1.24 kg CO2e</w:t>
      </w:r>
    </w:p>
    <w:p>
      <w:pPr>
        <w:pStyle w:val="FirstParagraph"/>
      </w:pPr>
      <w:r>
        <w:rPr>
          <w:bCs/>
          <w:b/>
        </w:rPr>
        <w:t xml:space="preserve">Net End-of-Life Emissions (Scope 3):</w:t>
      </w:r>
      <w:r>
        <w:t xml:space="preserve"> </w:t>
      </w:r>
      <w:r>
        <w:t xml:space="preserve">0.052 kg CO2e (landfill) - 1.24 kg CO2e (credits) = -1.188 kg CO2e</w:t>
      </w:r>
    </w:p>
    <w:bookmarkEnd w:id="35"/>
    <w:bookmarkEnd w:id="36"/>
    <w:bookmarkStart w:id="37" w:name="Xd66b0a0416dfb7e620f87545e1cf4cec0314f44"/>
    <w:p>
      <w:pPr>
        <w:pStyle w:val="Heading3"/>
      </w:pPr>
      <w:r>
        <w:t xml:space="preserve">Total Product Carbon Footprint (mjjrqupdlk)</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 per functional unit)</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2.270</w:t>
            </w:r>
          </w:p>
        </w:tc>
      </w:tr>
      <w:tr>
        <w:tc>
          <w:tcPr/>
          <w:p>
            <w:pPr>
              <w:pStyle w:val="Compact"/>
              <w:jc w:val="left"/>
            </w:pPr>
            <w:r>
              <w:t xml:space="preserve">Inbound Transportation</w:t>
            </w:r>
          </w:p>
        </w:tc>
        <w:tc>
          <w:tcPr/>
          <w:p>
            <w:pPr>
              <w:pStyle w:val="Compact"/>
              <w:jc w:val="left"/>
            </w:pPr>
            <w:r>
              <w:t xml:space="preserve">Scope 3 (Upstream)</w:t>
            </w:r>
          </w:p>
        </w:tc>
        <w:tc>
          <w:tcPr/>
          <w:p>
            <w:pPr>
              <w:pStyle w:val="Compact"/>
              <w:jc w:val="left"/>
            </w:pPr>
            <w:r>
              <w:t xml:space="preserve">0.068</w:t>
            </w:r>
          </w:p>
        </w:tc>
      </w:tr>
      <w:tr>
        <w:tc>
          <w:tcPr/>
          <w:p>
            <w:pPr>
              <w:pStyle w:val="Compact"/>
              <w:jc w:val="left"/>
            </w:pPr>
            <w:r>
              <w:t xml:space="preserve">Production (Manufacturing)</w:t>
            </w:r>
          </w:p>
        </w:tc>
        <w:tc>
          <w:tcPr/>
          <w:p>
            <w:pPr>
              <w:pStyle w:val="Compact"/>
              <w:jc w:val="left"/>
            </w:pPr>
            <w:r>
              <w:t xml:space="preserve">Scope 2</w:t>
            </w:r>
          </w:p>
        </w:tc>
        <w:tc>
          <w:tcPr/>
          <w:p>
            <w:pPr>
              <w:pStyle w:val="Compact"/>
              <w:jc w:val="left"/>
            </w:pPr>
            <w:r>
              <w:t xml:space="preserve">1.740</w:t>
            </w:r>
          </w:p>
        </w:tc>
      </w:tr>
      <w:tr>
        <w:tc>
          <w:tcPr/>
          <w:p>
            <w:pPr>
              <w:pStyle w:val="Compact"/>
              <w:jc w:val="left"/>
            </w:pPr>
            <w:r>
              <w:t xml:space="preserve">Outbound Transportation (Last-Mile)</w:t>
            </w:r>
          </w:p>
        </w:tc>
        <w:tc>
          <w:tcPr/>
          <w:p>
            <w:pPr>
              <w:pStyle w:val="Compact"/>
              <w:jc w:val="left"/>
            </w:pPr>
            <w:r>
              <w:t xml:space="preserve">Scope 3 (Downstream)</w:t>
            </w:r>
          </w:p>
        </w:tc>
        <w:tc>
          <w:tcPr/>
          <w:p>
            <w:pPr>
              <w:pStyle w:val="Compact"/>
              <w:jc w:val="left"/>
            </w:pPr>
            <w:r>
              <w:t xml:space="preserve">10.000</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15.000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-1.188</w:t>
            </w:r>
          </w:p>
        </w:tc>
      </w:tr>
      <w:tr>
        <w:tc>
          <w:tcPr>
            <w:gridSpan w:val="2"/>
          </w:tcPr>
          <w:p>
            <w:pPr>
              <w:pStyle w:val="Compact"/>
              <w:jc w:val="left"/>
            </w:pPr>
            <w:r>
              <w:t xml:space="preserve">Total Product Carbon Footprint</w:t>
            </w:r>
          </w:p>
        </w:tc>
        <w:tc>
          <w:tcPr/>
          <w:p>
            <w:pPr>
              <w:pStyle w:val="Compact"/>
              <w:jc w:val="left"/>
            </w:pPr>
            <w:r>
              <w:t xml:space="preserve">27.890</w:t>
            </w:r>
          </w:p>
        </w:tc>
      </w:tr>
    </w:tbl>
    <w:p>
      <w:pPr>
        <w:pStyle w:val="BodyText"/>
      </w:pPr>
      <w:r>
        <w:rPr>
          <w:bCs/>
          <w:b/>
        </w:rPr>
        <w:t xml:space="preserve">Total Product Carbon Footprint for mjjrqupdlk: 27.890 kg CO2e per unit.</w:t>
      </w:r>
    </w:p>
    <w:p>
      <w:r>
        <w:pict>
          <v:rect style="width:0;height:1.5pt" o:hralign="center" o:hrstd="t" o:hr="t"/>
        </w:pict>
      </w:r>
    </w:p>
    <w:bookmarkEnd w:id="37"/>
    <w:bookmarkEnd w:id="38"/>
    <w:bookmarkStart w:id="43" w:name="review-report"/>
    <w:p>
      <w:pPr>
        <w:pStyle w:val="Heading2"/>
      </w:pPr>
      <w:r>
        <w:t xml:space="preserve">5. Review &amp; Report</w:t>
      </w:r>
    </w:p>
    <w:bookmarkStart w:id="39" w:name="emission-hotspots"/>
    <w:p>
      <w:pPr>
        <w:pStyle w:val="Heading3"/>
      </w:pPr>
      <w:r>
        <w:t xml:space="preserve">Emission Hotspots</w:t>
      </w:r>
    </w:p>
    <w:p>
      <w:pPr>
        <w:pStyle w:val="FirstParagraph"/>
      </w:pPr>
      <w:r>
        <w:t xml:space="preserve">The analysis reveals the following major emission hotspots for mjjrqupdlk:</w:t>
      </w:r>
    </w:p>
    <w:p>
      <w:pPr>
        <w:numPr>
          <w:ilvl w:val="0"/>
          <w:numId w:val="1013"/>
        </w:numPr>
        <w:pStyle w:val="Compact"/>
      </w:pPr>
      <w:r>
        <w:rPr>
          <w:bCs/>
          <w:b/>
        </w:rPr>
        <w:t xml:space="preserve">Product Use Phase (15.0 kg CO2e):</w:t>
      </w:r>
      <w:r>
        <w:t xml:space="preserve"> </w:t>
      </w:r>
      <w:r>
        <w:t xml:space="preserve">This is the largest contributor, primarily due to the energy consumption over the product\'s 5-year illustrative lifespan. The electricity grid mix in the region of use (assumed Europe average) significantly influences this.</w:t>
      </w:r>
    </w:p>
    <w:p>
      <w:pPr>
        <w:numPr>
          <w:ilvl w:val="0"/>
          <w:numId w:val="1013"/>
        </w:numPr>
        <w:pStyle w:val="Compact"/>
      </w:pPr>
      <w:r>
        <w:rPr>
          <w:bCs/>
          <w:b/>
        </w:rPr>
        <w:t xml:space="preserve">Outbound Transportation (10.0 kg CO2e):</w:t>
      </w:r>
      <w:r>
        <w:t xml:space="preserve"> </w:t>
      </w:r>
      <w:r>
        <w:t xml:space="preserve">Last-mile delivery accounts for a substantial portion, highlighting the impact of distribution logistics, especially for a functional unit of this size.</w:t>
      </w:r>
    </w:p>
    <w:p>
      <w:pPr>
        <w:numPr>
          <w:ilvl w:val="0"/>
          <w:numId w:val="1013"/>
        </w:numPr>
        <w:pStyle w:val="Compact"/>
      </w:pPr>
      <w:r>
        <w:rPr>
          <w:bCs/>
          <w:b/>
        </w:rPr>
        <w:t xml:space="preserve">Materials Acquisition &amp; Processing (2.27 kg CO2e):</w:t>
      </w:r>
      <w:r>
        <w:t xml:space="preserve"> </w:t>
      </w:r>
      <w:r>
        <w:t xml:space="preserve">The production of raw materials, particularly aluminum, contributes significantly to upstream emissions.</w:t>
      </w:r>
    </w:p>
    <w:p>
      <w:pPr>
        <w:numPr>
          <w:ilvl w:val="0"/>
          <w:numId w:val="1013"/>
        </w:numPr>
        <w:pStyle w:val="Compact"/>
      </w:pPr>
      <w:r>
        <w:rPr>
          <w:bCs/>
          <w:b/>
        </w:rPr>
        <w:t xml:space="preserve">Production (Manufacturing) (1.74 kg CO2e):</w:t>
      </w:r>
      <w:r>
        <w:t xml:space="preserve"> </w:t>
      </w:r>
      <w:r>
        <w:t xml:space="preserve">While significant, the high (70%) renewable energy usage at the production facility helps mitigate this impact.</w:t>
      </w:r>
    </w:p>
    <w:bookmarkEnd w:id="39"/>
    <w:bookmarkStart w:id="40" w:name="X02d53c3922226c7ce8fb3d19e520c93237c2100"/>
    <w:p>
      <w:pPr>
        <w:pStyle w:val="Heading3"/>
      </w:pPr>
      <w:r>
        <w:t xml:space="preserve">GHG Protocol Compliance (2026 LSR Update &amp; Scope 3 Coverage)</w:t>
      </w:r>
    </w:p>
    <w:p>
      <w:pPr>
        <w:numPr>
          <w:ilvl w:val="0"/>
          <w:numId w:val="1014"/>
        </w:numPr>
        <w:pStyle w:val="Compact"/>
      </w:pPr>
      <w:r>
        <w:rPr>
          <w:bCs/>
          <w:b/>
        </w:rPr>
        <w:t xml:space="preserve">Scope 1, 2, 3 Categorization:</w:t>
      </w:r>
      <w:r>
        <w:t xml:space="preserve"> </w:t>
      </w:r>
      <w:r>
        <w:t xml:space="preserve">All emissions have been appropriately categorized as per GHG Protocol guidelines. Direct process emissions (Scope 1) were assumed negligible in production, with focus on purchased energy.</w:t>
      </w:r>
    </w:p>
    <w:p>
      <w:pPr>
        <w:numPr>
          <w:ilvl w:val="0"/>
          <w:numId w:val="1014"/>
        </w:numPr>
        <w:pStyle w:val="Compact"/>
      </w:pPr>
      <w:r>
        <w:rPr>
          <w:bCs/>
          <w:b/>
        </w:rPr>
        <w:t xml:space="preserve">2026 LSR Update:</w:t>
      </w:r>
      <w:r>
        <w:t xml:space="preserve"> </w:t>
      </w:r>
      <w:r>
        <w:t xml:space="preserve">The Land Sector and Removals (LSR) Standard is acknowledged. In this PCF, direct land use change emissions or removals were not explicitly quantified due to the nature of the product and data limitations (e.g., specific raw material sourcing locations and land management practices were not provided). However, the framework for considering these would be integrated if primary data were available. For materials like plastics and metals, the "cradle-to-gate" emission factors typically include upstream impacts but might not detail specific land use changes at the extraction site.</w:t>
      </w:r>
    </w:p>
    <w:p>
      <w:pPr>
        <w:numPr>
          <w:ilvl w:val="0"/>
          <w:numId w:val="1014"/>
        </w:numPr>
        <w:pStyle w:val="Compact"/>
      </w:pPr>
      <w:r>
        <w:rPr>
          <w:bCs/>
          <w:b/>
        </w:rPr>
        <w:t xml:space="preserve">Scope 3 Coverage (&gt;=95%):</w:t>
      </w:r>
      <w:r>
        <w:t xml:space="preserve"> </w:t>
      </w:r>
      <w:r>
        <w:t xml:space="preserve">This analysis aims for comprehensive Scope 3 coverage, encompassing upstream material production, transportation, downstream use, and end-of-life. The inclusion of these stages demonstrates an effort to meet or exceed the 95% coverage requirement for Scope 3 reporting as per 2026 requirements, with the main exclusions being minor indirect activities not directly linked to the provided parameters.</w:t>
      </w:r>
    </w:p>
    <w:bookmarkEnd w:id="40"/>
    <w:bookmarkStart w:id="42" w:name="reliability-and-recommendations"/>
    <w:p>
      <w:pPr>
        <w:pStyle w:val="Heading3"/>
      </w:pPr>
      <w:r>
        <w:t xml:space="preserve">Reliability and Recommendations</w:t>
      </w:r>
    </w:p>
    <w:p>
      <w:pPr>
        <w:pStyle w:val="FirstParagraph"/>
      </w:pPr>
      <w:r>
        <w:t xml:space="preserve">The reliability of this report is directly dependent on the accuracy and completeness of the input data. As illustrative values were used for several key parameters (e.g., BOM specifics, transport distances, energy consumption), these calculations should be considered a demonstration of methodology rather than an absolute carbon footprint.</w:t>
      </w:r>
    </w:p>
    <w:bookmarkStart w:id="41" w:name="recommendations-for-emission-reduction"/>
    <w:p>
      <w:pPr>
        <w:pStyle w:val="Heading4"/>
      </w:pPr>
      <w:r>
        <w:t xml:space="preserve">Recommendations for Emission Reduction:</w:t>
      </w:r>
    </w:p>
    <w:p>
      <w:pPr>
        <w:numPr>
          <w:ilvl w:val="0"/>
          <w:numId w:val="1015"/>
        </w:numPr>
        <w:pStyle w:val="Compact"/>
      </w:pPr>
      <w:r>
        <w:rPr>
          <w:bCs/>
          <w:b/>
        </w:rPr>
        <w:t xml:space="preserve">Optimize Use Phase Energy:</w:t>
      </w:r>
      <w:r>
        <w:t xml:space="preserve"> </w:t>
      </w:r>
      <w:r>
        <w:t xml:space="preserve">Given its significant contribution, investigate strategies to reduce energy consumption during the product\'s use phase. This could include energy-efficient design, software optimization, or promoting responsible usage. Engaging users on renewable energy adoption for product charging/operation could also be beneficial.</w:t>
      </w:r>
    </w:p>
    <w:p>
      <w:pPr>
        <w:numPr>
          <w:ilvl w:val="0"/>
          <w:numId w:val="1015"/>
        </w:numPr>
        <w:pStyle w:val="Compact"/>
      </w:pPr>
      <w:r>
        <w:rPr>
          <w:bCs/>
          <w:b/>
        </w:rPr>
        <w:t xml:space="preserve">Streamline Logistics:</w:t>
      </w:r>
      <w:r>
        <w:t xml:space="preserve"> </w:t>
      </w:r>
      <w:r>
        <w:t xml:space="preserve">Address outbound transportation emissions by optimizing delivery routes, consolidating shipments, exploring alternative, lower-emission transport modes (e.g., rail, electric vehicles for last-mile), or decentralizing distribution centers closer to end-users.</w:t>
      </w:r>
    </w:p>
    <w:p>
      <w:pPr>
        <w:numPr>
          <w:ilvl w:val="0"/>
          <w:numId w:val="1015"/>
        </w:numPr>
        <w:pStyle w:val="Compact"/>
      </w:pPr>
      <w:r>
        <w:rPr>
          <w:bCs/>
          <w:b/>
        </w:rPr>
        <w:t xml:space="preserve">Enhance Material Circularity:</w:t>
      </w:r>
      <w:r>
        <w:t xml:space="preserve"> </w:t>
      </w:r>
      <w:r>
        <w:t xml:space="preserve">Continue to invest in and promote circular economy programs. While 80% recyclability is good, increasing this further and ensuring actual material recovery for the remaining 20% (e.g., through robust take-back schemes, as mentioned in</w:t>
      </w:r>
      <w:r>
        <w:t xml:space="preserve"> </w:t>
      </w:r>
      <w:r>
        <w:rPr>
          <w:rStyle w:val="VerbatimChar"/>
        </w:rPr>
        <w:t xml:space="preserve">gwmswlrvfx</w:t>
      </w:r>
      <w:r>
        <w:t xml:space="preserve">) could yield more significant avoided emissions. Explore higher recycled content in raw materials.</w:t>
      </w:r>
    </w:p>
    <w:p>
      <w:pPr>
        <w:numPr>
          <w:ilvl w:val="0"/>
          <w:numId w:val="1015"/>
        </w:numPr>
        <w:pStyle w:val="Compact"/>
      </w:pPr>
      <w:r>
        <w:rPr>
          <w:bCs/>
          <w:b/>
        </w:rPr>
        <w:t xml:space="preserve">Supply Chain Engagement:</w:t>
      </w:r>
      <w:r>
        <w:t xml:space="preserve"> </w:t>
      </w:r>
      <w:r>
        <w:t xml:space="preserve">Work with suppliers to further reduce the carbon intensity of raw materials, particularly for energy-intensive components like aluminum. Encourage suppliers to adopt renewable energy and efficient production processes.</w:t>
      </w:r>
    </w:p>
    <w:p>
      <w:pPr>
        <w:numPr>
          <w:ilvl w:val="0"/>
          <w:numId w:val="1015"/>
        </w:numPr>
        <w:pStyle w:val="Compact"/>
      </w:pPr>
      <w:r>
        <w:rPr>
          <w:bCs/>
          <w:b/>
        </w:rPr>
        <w:t xml:space="preserve">Data Refinement:</w:t>
      </w:r>
      <w:r>
        <w:t xml:space="preserve"> </w:t>
      </w:r>
      <w:r>
        <w:t xml:space="preserve">To improve accuracy, collect primary data for all parameters currently using illustrative values. This includes precise BOM details (including actual carbon footprints from suppliers), exact transport distances and modes, and verified energy consumption figures for both production and use.</w:t>
      </w:r>
    </w:p>
    <w:p>
      <w:r>
        <w:pict>
          <v:rect style="width:0;height:1.5pt" o:hralign="center" o:hrstd="t" o:hr="t"/>
        </w:pict>
      </w:r>
    </w:p>
    <w:p>
      <w:pPr>
        <w:pStyle w:val="FirstParagraph"/>
      </w:pPr>
      <w:r>
        <w:t xml:space="preserve">Confidential - Internal Use Only</w:t>
      </w:r>
    </w:p>
    <w:bookmarkEnd w:id="41"/>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mjjrqupdlk</dc:title>
  <dc:creator/>
  <dc:description>High-detail Product Carbon Footprint (PCF) analysis report for mjjrqupdlk, conducted by wnkxyvtezj specializing in GHG Protocol. Covers material, production, transport, use, and end-of-life phases.</dc:description>
  <dc:language>en</dc:language>
  <cp:keywords/>
  <dcterms:created xsi:type="dcterms:W3CDTF">2026-05-30T15:57:26Z</dcterms:created>
  <dcterms:modified xsi:type="dcterms:W3CDTF">2026-05-30T15:57:26Z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