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mifoqmngot</w:t>
      </w:r>
      <w:r>
        <w:t xml:space="preserve"> </w:t>
      </w:r>
      <w:r>
        <w:t xml:space="preserve">-</w:t>
      </w:r>
      <w:r>
        <w:t xml:space="preserve"> </w:t>
      </w:r>
      <w:r>
        <w:t xml:space="preserve">osskriwegz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mifoqmngot</w:t>
      </w:r>
    </w:p>
    <w:p>
      <w:pPr>
        <w:pStyle w:val="BodyText"/>
      </w:pPr>
      <w:r>
        <w:rPr>
          <w:bCs/>
          <w:b/>
        </w:rPr>
        <w:t xml:space="preserve">Company:</w:t>
      </w:r>
      <w:r>
        <w:t xml:space="preserve"> </w:t>
      </w:r>
      <w:r>
        <w:t xml:space="preserve">osskriwegz</w:t>
      </w:r>
    </w:p>
    <w:p>
      <w:pPr>
        <w:pStyle w:val="BodyText"/>
      </w:pPr>
      <w:r>
        <w:rPr>
          <w:bCs/>
          <w:b/>
        </w:rPr>
        <w:t xml:space="preserve">Senior Sustainability Consultant:</w:t>
      </w:r>
      <w:r>
        <w:t xml:space="preserve"> </w:t>
      </w:r>
      <w:r>
        <w:t xml:space="preserve">znqpfgvioz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 Carbon Footprint (PCF) for mifoqmngot. Specific data points provided have been integrated where applicable, with general industry averages used for aspects not explicitly detailed.</w:t>
      </w:r>
    </w:p>
    <w:bookmarkEnd w:id="20"/>
    <w:bookmarkStart w:id="21" w:name="Xc121490770c617aca4c0bdf00487f64e02176c5"/>
    <w:p>
      <w:pPr>
        <w:pStyle w:val="Heading1"/>
      </w:pPr>
      <w:r>
        <w:t xml:space="preserve">Product Carbon Footprint Analysis Report: mifoqmngot</w:t>
      </w:r>
    </w:p>
    <w:p>
      <w:pPr>
        <w:pStyle w:val="FirstParagraph"/>
      </w:pPr>
      <w:r>
        <w:rPr>
          <w:bCs/>
          <w:b/>
        </w:rPr>
        <w:t xml:space="preserve">Generated Date:</w:t>
      </w:r>
      <w:r>
        <w:t xml:space="preserve"> </w:t>
      </w:r>
      <w:r>
        <w:t xml:space="preserve">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\'mifoqmngot\', a product manufactured by osskriwegz. The analysis adheres strictly to the GHG Protocol accounting standard, incorporating the 2026 Land Sector and Removals (LSR) update and targeting at least 95% coverage for Scope 3 emissions. Conducted by znqpfgvioz, Senior Sustainability Consultant, this study maps the product\'s lifecycle from raw material acquisition through manufacturing, transport, use, and end-of-life. Key hotspots are identified, and recommendations for emissions reduction are provided, based on the specific Bill of Materials, operational data, and logistical parameters supplied by osskriwegz.</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\'mifoqmngot\' follows a five-step methodology as prescribed by leading sustainability frameworks, ensuring a comprehensive assessment of greenhouse gas (GHG) emissions across the product\'s lifecycle. The accounting standard applied throughout this analysis is the GHG Protocol.</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mifoqmngot. This unit serves as the reference basis for quantifying all inputs and outputs across the product\'s lifecycle, allowing for consistent comparison and assessment of environmental impacts.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boundary focuses on emissions from raw material extraction and processing, manufacturing, and transport up to the point the finished product leaves the factory gate. However, for a complete PCF, the analysis has been extended to include the use phase and end-of-life scenarios, encompassing a "cradle-to-grave" perspective for a more holistic understanding of the product\'s environmental impact.</w:t>
      </w:r>
    </w:p>
    <w:p>
      <w:pPr>
        <w:numPr>
          <w:ilvl w:val="0"/>
          <w:numId w:val="1002"/>
        </w:numPr>
        <w:pStyle w:val="Compact"/>
      </w:pPr>
      <w:r>
        <w:rPr>
          <w:bCs/>
          <w:b/>
        </w:rPr>
        <w:t xml:space="preserve">Emissions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 in strict adherence to the GHG Protocol.</w:t>
      </w:r>
    </w:p>
    <w:p>
      <w:pPr>
        <w:numPr>
          <w:ilvl w:val="0"/>
          <w:numId w:val="1002"/>
        </w:numPr>
        <w:pStyle w:val="Compact"/>
      </w:pPr>
      <w:r>
        <w:rPr>
          <w:bCs/>
          <w:b/>
        </w:rPr>
        <w:t xml:space="preserve">LSR Update:</w:t>
      </w:r>
      <w:r>
        <w:t xml:space="preserve"> </w:t>
      </w:r>
      <w:r>
        <w:t xml:space="preserve">The Land Sector and Removals (LSR) Standard (2026 update) is applied to account for land use and carbon removals where relevant, acknowledging the critical role of land-based emissions and sequestration in the overall carbon footprint. Due to the nature of provided data, this is primarily addressed by ensuring relevant categories are considered, though specific quantification of land use change emissions for each raw material or process is beyond the scope of general industry factor application in this report.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defines the primary location for the manufacturing processes.</w:t>
      </w:r>
    </w:p>
    <w:p>
      <w:pPr>
        <w:numPr>
          <w:ilvl w:val="0"/>
          <w:numId w:val="1003"/>
        </w:numPr>
        <w:pStyle w:val="Compact"/>
      </w:pPr>
      <w:r>
        <w:rPr>
          <w:bCs/>
          <w:b/>
        </w:rPr>
        <w:t xml:space="preserve">Supply Chain Focus:</w:t>
      </w:r>
      <w:r>
        <w:t xml:space="preserve"> </w:t>
      </w:r>
      <w:r>
        <w:t xml:space="preserve">Europe Focused. Raw material sourcing and intermediate processing are primarily considered within the European region, influencing transport distances and emission factors.</w:t>
      </w:r>
    </w:p>
    <w:bookmarkEnd w:id="25"/>
    <w:bookmarkStart w:id="26" w:name="allocation"/>
    <w:p>
      <w:pPr>
        <w:pStyle w:val="Heading3"/>
      </w:pPr>
      <w:r>
        <w:t xml:space="preserve">1.4. Allocation</w:t>
      </w:r>
    </w:p>
    <w:p>
      <w:pPr>
        <w:numPr>
          <w:ilvl w:val="0"/>
          <w:numId w:val="1004"/>
        </w:numPr>
        <w:pStyle w:val="Compact"/>
      </w:pPr>
      <w:r>
        <w:t xml:space="preserve">Allocation of environmental impacts across the product\'s lifecycle is performed consistently, primarily based on mass and economic value where co-products or by-products occur, though for a single product PCF, direct attribution is mostly employed. For end-of-life, benefits from recycling are considered using the avoided burden approach.</w:t>
      </w:r>
    </w:p>
    <w:p>
      <w:r>
        <w:pict>
          <v:rect style="width:0;height:1.5pt" o:hralign="center" o:hrstd="t" o:hr="t"/>
        </w:pict>
      </w:r>
    </w:p>
    <w:bookmarkEnd w:id="26"/>
    <w:bookmarkEnd w:id="27"/>
    <w:bookmarkStart w:id="34" w:name="X2bf58de29a7a901ba932b9a6a779f7f86e80a1b"/>
    <w:p>
      <w:pPr>
        <w:pStyle w:val="Heading2"/>
      </w:pPr>
      <w:r>
        <w:t xml:space="preserve">2. Lifecycle Mapping and Data Collection (LCI Inventory)</w:t>
      </w:r>
    </w:p>
    <w:p>
      <w:pPr>
        <w:pStyle w:val="FirstParagraph"/>
      </w:pPr>
      <w:r>
        <w:t xml:space="preserve">This section details the inventory of materials, energy, and transport inputs across the product\'s lifecycle stages.</w:t>
      </w:r>
    </w:p>
    <w:bookmarkStart w:id="29" w:name="Xb83e8992d862dfee00bd97c7c0bff9d4edd4cfa"/>
    <w:p>
      <w:pPr>
        <w:pStyle w:val="Heading3"/>
      </w:pPr>
      <w:r>
        <w:t xml:space="preserve">2.1. Raw Materials Acquisition &amp; Processing (Upstream - Scope 3)</w:t>
      </w:r>
    </w:p>
    <w:p>
      <w:pPr>
        <w:pStyle w:val="FirstParagraph"/>
      </w:pPr>
      <w:r>
        <w:t xml:space="preserve">The Detailed Bill of Materials (BOM), represented by \'pllewttu\', provides the foundation for calculating the material-specific carbon impact. For illustrative purposes, a detailed breakdown, based on the specified format (ID, Description, Category, Process, Qty, Unit, Emission Factor, Total Carbon), is presented below. These values are critical for a high-accuracy material impact calculation, moving beyond default estimates.</w:t>
      </w:r>
    </w:p>
    <w:bookmarkStart w:id="28" w:name="X5062ad7d2801a82f659733ca2248c9b93912e17"/>
    <w:p>
      <w:pPr>
        <w:pStyle w:val="Heading4"/>
      </w:pPr>
      <w:r>
        <w:t xml:space="preserve">Detailed Bill of Materials (BOM) - mifoqmngot (Based on \'pllewttu\' data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0.875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0.040</w:t>
            </w:r>
          </w:p>
        </w:tc>
      </w:tr>
      <w:tr>
        <w:tc>
          <w:tcPr/>
          <w:p>
            <w:pPr>
              <w:pStyle w:val="Compact"/>
              <w:jc w:val="left"/>
            </w:pPr>
            <w:r>
              <w:t xml:space="preserve">M007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0.015</w:t>
            </w:r>
          </w:p>
        </w:tc>
      </w:tr>
      <w:tr>
        <w:tc>
          <w:tcPr/>
          <w:p>
            <w:pPr>
              <w:pStyle w:val="Compact"/>
              <w:jc w:val="left"/>
            </w:pPr>
            <w:r>
              <w:t xml:space="preserve">M008</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Formulation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0.025</w:t>
            </w:r>
          </w:p>
        </w:tc>
      </w:tr>
    </w:tbl>
    <w:p>
      <w:pPr>
        <w:pStyle w:val="BodyText"/>
      </w:pPr>
      <w:r>
        <w:rPr>
          <w:iCs/>
          <w:i/>
        </w:rPr>
        <w:t xml:space="preserve">Note: The "Emission Factor" and "Total Carbon" values in the table above are illustrative, based on industry averages for similar materials and processes, as the specific numerical data for \'pllewttu\' was not provided in the prompt beyond its structural description. In a real-world scenario, these would be derived from primary data or specific secondary databases (e.g., Ecoinvent, DEFRA).</w:t>
      </w:r>
    </w:p>
    <w:bookmarkEnd w:id="28"/>
    <w:bookmarkEnd w:id="29"/>
    <w:bookmarkStart w:id="30" w:name="Xac8c4a088fd5d8fd16cfb81c5acccb30c984ef0"/>
    <w:p>
      <w:pPr>
        <w:pStyle w:val="Heading3"/>
      </w:pPr>
      <w:r>
        <w:t xml:space="preserve">2.2. Manufacturing (Production Phase - Scope 1, 2, 3)</w:t>
      </w:r>
    </w:p>
    <w:p>
      <w:pPr>
        <w:pStyle w:val="FirstParagraph"/>
      </w:pPr>
      <w:r>
        <w:t xml:space="preserve">The production phase for mifoqmngot takes place in China. Energy inputs are critical for this stage:</w:t>
      </w:r>
    </w:p>
    <w:p>
      <w:pPr>
        <w:numPr>
          <w:ilvl w:val="0"/>
          <w:numId w:val="1005"/>
        </w:numPr>
        <w:pStyle w:val="Compact"/>
      </w:pPr>
      <w:r>
        <w:rPr>
          <w:bCs/>
          <w:b/>
        </w:rPr>
        <w:t xml:space="preserve">Energy Intensity (kWh/unit):</w:t>
      </w:r>
      <w:r>
        <w:t xml:space="preserve"> </w:t>
      </w:r>
      <w:r>
        <w:t xml:space="preserve">wuzdwolmtt. This figure represents the total electricity consumed per unit of mifoqmngot during its manufacturing.</w:t>
      </w:r>
    </w:p>
    <w:p>
      <w:pPr>
        <w:numPr>
          <w:ilvl w:val="0"/>
          <w:numId w:val="1005"/>
        </w:numPr>
        <w:pStyle w:val="Compact"/>
      </w:pPr>
      <w:r>
        <w:rPr>
          <w:bCs/>
          <w:b/>
        </w:rPr>
        <w:t xml:space="preserve">Renewable Energy Usage:</w:t>
      </w:r>
      <w:r>
        <w:t xml:space="preserve"> </w:t>
      </w:r>
      <w:r>
        <w:t xml:space="preserve">gjmzgehipk. This percentage of renewable energy directly impacts the Scope 2 emissions, reducing the carbon intensity of the purchased electricity.</w:t>
      </w:r>
    </w:p>
    <w:p>
      <w:pPr>
        <w:pStyle w:val="FirstParagraph"/>
      </w:pPr>
      <w:r>
        <w:t xml:space="preserve">Direct emissions (Scope 1) from on-site fuel combustion (if any) and indirect emissions from purchased electricity (Scope 2) are captured here. Upstream emissions related to the production of purchased energy (Scope 3, Category 3) are also considered.</w:t>
      </w:r>
    </w:p>
    <w:bookmarkEnd w:id="30"/>
    <w:bookmarkStart w:id="31" w:name="Xfb9e645383a619107bcc46663e20337406a6278"/>
    <w:p>
      <w:pPr>
        <w:pStyle w:val="Heading3"/>
      </w:pPr>
      <w:r>
        <w:t xml:space="preserve">2.3. Transport &amp; Logistics (Upstream &amp; Downstream - Scope 3)</w:t>
      </w:r>
    </w:p>
    <w:p>
      <w:pPr>
        <w:pStyle w:val="FirstParagraph"/>
      </w:pPr>
      <w:r>
        <w:t xml:space="preserve">Logistics data is incorporated into the supply chain analysis to determine the carbon footprint associated with material and product movement.</w:t>
      </w:r>
    </w:p>
    <w:p>
      <w:pPr>
        <w:numPr>
          <w:ilvl w:val="0"/>
          <w:numId w:val="1006"/>
        </w:numPr>
        <w:pStyle w:val="Compact"/>
      </w:pPr>
      <w:r>
        <w:rPr>
          <w:bCs/>
          <w:b/>
        </w:rPr>
        <w:t xml:space="preserve">Transport Mode:</w:t>
      </w:r>
      <w:r>
        <w:t xml:space="preserve"> </w:t>
      </w:r>
      <w:r>
        <w:t xml:space="preserve">Select Mode. This refers to the primary mode of transportation used (e.g., sea freight, road freight, air freight). Each mode has a distinct emission factor.</w:t>
      </w:r>
    </w:p>
    <w:p>
      <w:pPr>
        <w:numPr>
          <w:ilvl w:val="0"/>
          <w:numId w:val="1006"/>
        </w:numPr>
        <w:pStyle w:val="Compact"/>
      </w:pPr>
      <w:r>
        <w:rPr>
          <w:bCs/>
          <w:b/>
        </w:rPr>
        <w:t xml:space="preserve">Transport Distance:</w:t>
      </w:r>
      <w:r>
        <w:t xml:space="preserve"> </w:t>
      </w:r>
      <w:r>
        <w:t xml:space="preserve">kkvnhisphn. This represents the total distance covered by the product and its components during transportation.</w:t>
      </w:r>
    </w:p>
    <w:p>
      <w:pPr>
        <w:numPr>
          <w:ilvl w:val="0"/>
          <w:numId w:val="1006"/>
        </w:numPr>
        <w:pStyle w:val="Compact"/>
      </w:pPr>
      <w:r>
        <w:rPr>
          <w:bCs/>
          <w:b/>
        </w:rPr>
        <w:t xml:space="preserve">Last-Mile Delivery Channel:</w:t>
      </w:r>
      <w:r>
        <w:t xml:space="preserve"> </w:t>
      </w:r>
      <w:r>
        <w:t xml:space="preserve">Delivery Type. This indicates the method of final delivery to the end-user (e.g., parcel service, retail pick-up), affecting local transport emissions.</w:t>
      </w:r>
    </w:p>
    <w:p>
      <w:pPr>
        <w:pStyle w:val="FirstParagraph"/>
      </w:pPr>
      <w:r>
        <w:t xml:space="preserve">Emissions from inbound logistics of raw materials (Europe Focused supply chain to China production) and outbound logistics of finished products are calculated as Scope 3, Categories 4 (Transportation and Distribution, Upstream) and 9 (Downstream Transportation and Distribution) respectively.</w:t>
      </w:r>
    </w:p>
    <w:bookmarkEnd w:id="31"/>
    <w:bookmarkStart w:id="32" w:name="use-phase-downstream---scope-3"/>
    <w:p>
      <w:pPr>
        <w:pStyle w:val="Heading3"/>
      </w:pPr>
      <w:r>
        <w:t xml:space="preserve">2.4. Use Phase (Downstream - Scope 3)</w:t>
      </w:r>
    </w:p>
    <w:p>
      <w:pPr>
        <w:pStyle w:val="FirstParagraph"/>
      </w:pPr>
      <w:r>
        <w:t xml:space="preserve">The emissions generated during the product\'s use by the consumer are a significant component of the PCF for many products, especially electronics.</w:t>
      </w:r>
    </w:p>
    <w:p>
      <w:pPr>
        <w:numPr>
          <w:ilvl w:val="0"/>
          <w:numId w:val="1007"/>
        </w:numPr>
        <w:pStyle w:val="Compact"/>
      </w:pPr>
      <w:r>
        <w:rPr>
          <w:bCs/>
          <w:b/>
        </w:rPr>
        <w:t xml:space="preserve">Product Lifespan:</w:t>
      </w:r>
      <w:r>
        <w:t xml:space="preserve"> </w:t>
      </w:r>
      <w:r>
        <w:t xml:space="preserve">woohoupzuu. This is the estimated operational life of the product.</w:t>
      </w:r>
    </w:p>
    <w:p>
      <w:pPr>
        <w:numPr>
          <w:ilvl w:val="0"/>
          <w:numId w:val="1007"/>
        </w:numPr>
        <w:pStyle w:val="Compact"/>
      </w:pPr>
      <w:r>
        <w:rPr>
          <w:bCs/>
          <w:b/>
        </w:rPr>
        <w:t xml:space="preserve">Energy Consumption in Use:</w:t>
      </w:r>
      <w:r>
        <w:t xml:space="preserve"> </w:t>
      </w:r>
      <w:r>
        <w:t xml:space="preserve">tdzwjhhsix. This represents the energy consumed by mifoqmngot during its typical usage over its lifespan. This is multiplied by the regional electricity grid emission factor to determine use-phase emissions.</w:t>
      </w:r>
    </w:p>
    <w:p>
      <w:pPr>
        <w:pStyle w:val="FirstParagraph"/>
      </w:pPr>
      <w:r>
        <w:t xml:space="preserve">These emissions fall under Scope 3, Category 11 (Use of Sold Products).</w:t>
      </w:r>
    </w:p>
    <w:bookmarkEnd w:id="32"/>
    <w:bookmarkStart w:id="33" w:name="Xbd5ce2581a055ba0d05236edb0e67e8783fa2ac"/>
    <w:p>
      <w:pPr>
        <w:pStyle w:val="Heading3"/>
      </w:pPr>
      <w:r>
        <w:t xml:space="preserve">2.5. End-of-Life (EoL) Scenarios (Downstream - Scope 3)</w:t>
      </w:r>
    </w:p>
    <w:p>
      <w:pPr>
        <w:pStyle w:val="FirstParagraph"/>
      </w:pPr>
      <w:r>
        <w:t xml:space="preserve">The fate of the product at the end of its useful life also contributes to its overall carbon footprint, with potential for emissions and/or avoided emissions.</w:t>
      </w:r>
    </w:p>
    <w:p>
      <w:pPr>
        <w:numPr>
          <w:ilvl w:val="0"/>
          <w:numId w:val="1008"/>
        </w:numPr>
        <w:pStyle w:val="Compact"/>
      </w:pPr>
      <w:r>
        <w:rPr>
          <w:bCs/>
          <w:b/>
        </w:rPr>
        <w:t xml:space="preserve">Recyclability Percentage:</w:t>
      </w:r>
      <w:r>
        <w:t xml:space="preserve"> </w:t>
      </w:r>
      <w:r>
        <w:t xml:space="preserve">lwwosqswts. A higher percentage indicates that a larger portion of the product\'s materials can be recycled, reducing the need for virgin materials and potentially generating avoided emissions (credits).</w:t>
      </w:r>
    </w:p>
    <w:p>
      <w:pPr>
        <w:numPr>
          <w:ilvl w:val="0"/>
          <w:numId w:val="1008"/>
        </w:numPr>
        <w:pStyle w:val="Compact"/>
      </w:pPr>
      <w:r>
        <w:rPr>
          <w:bCs/>
          <w:b/>
        </w:rPr>
        <w:t xml:space="preserve">Circular/Take-back Programs:</w:t>
      </w:r>
      <w:r>
        <w:t xml:space="preserve"> </w:t>
      </w:r>
      <w:r>
        <w:t xml:space="preserve">jrqnrnrzyx. The presence and effectiveness of such programs can significantly enhance recycling rates, facilitate material recovery, and reduce landfill waste, leading to a lower net environmental impact at EoL.</w:t>
      </w:r>
    </w:p>
    <w:p>
      <w:pPr>
        <w:pStyle w:val="FirstParagraph"/>
      </w:pPr>
      <w:r>
        <w:t xml:space="preserve">Emissions and potential credits associated with waste treatment and recycling are accounted for under Scope 3, Category 12 (End-of-Life Treatment of Sold Products).</w:t>
      </w:r>
    </w:p>
    <w:p>
      <w:r>
        <w:pict>
          <v:rect style="width:0;height:1.5pt" o:hralign="center" o:hrstd="t" o:hr="t"/>
        </w:pict>
      </w:r>
    </w:p>
    <w:bookmarkEnd w:id="33"/>
    <w:bookmarkEnd w:id="34"/>
    <w:bookmarkStart w:id="41" w:name="X439a6e6dcb43c636bf515ffaf3f59bce0bd6490"/>
    <w:p>
      <w:pPr>
        <w:pStyle w:val="Heading2"/>
      </w:pPr>
      <w:r>
        <w:t xml:space="preserve">3. Emission Calculation (Activity * Emission Factor = CO2e)</w:t>
      </w:r>
    </w:p>
    <w:p>
      <w:pPr>
        <w:pStyle w:val="FirstParagraph"/>
      </w:pPr>
      <w:r>
        <w:t xml:space="preserve">The total Product Carbon Footprint (PCF) for mifoqmngot is calculated by summing the CO2e emissions from each lifecycle stage, categorized according to the GHG Protocol. Industry-standard emission factors (e.g., from Ecoinvent, DEFRA, IEA) are utilized for all calculations where specific factors are not provided in the BOM.</w:t>
      </w:r>
    </w:p>
    <w:bookmarkStart w:id="35" w:name="scope-1-emissions"/>
    <w:p>
      <w:pPr>
        <w:pStyle w:val="Heading3"/>
      </w:pPr>
      <w:r>
        <w:t xml:space="preserve">3.1. Scope 1 Emissions</w:t>
      </w:r>
    </w:p>
    <w:p>
      <w:pPr>
        <w:pStyle w:val="FirstParagraph"/>
      </w:pPr>
      <w:r>
        <w:t xml:space="preserve">Direct emissions from sources owned or controlled by osskriwegz during the manufacturing of mifoqmngot. These primarily include fuel combustion for on-site machinery or heating. For the purpose of this analysis, assuming typical operations for an electronics product, direct on-site combustion is considered minimal or zero if operations are electrified. If there are any on-site fossil fuel uses, these would be quantified here.</w:t>
      </w:r>
    </w:p>
    <w:p>
      <w:pPr>
        <w:numPr>
          <w:ilvl w:val="0"/>
          <w:numId w:val="1009"/>
        </w:numPr>
        <w:pStyle w:val="Compact"/>
      </w:pPr>
      <w:r>
        <w:rPr>
          <w:bCs/>
          <w:b/>
        </w:rPr>
        <w:t xml:space="preserve">Estimated Scope 1 Emissions (Manufacturing):</w:t>
      </w:r>
      <w:r>
        <w:t xml:space="preserve"> </w:t>
      </w:r>
      <w:r>
        <w:t xml:space="preserve">[Value] kg CO2e (Based on fuel consumption * emission factor)</w:t>
      </w:r>
    </w:p>
    <w:bookmarkEnd w:id="35"/>
    <w:bookmarkStart w:id="36" w:name="scope-2-emissions"/>
    <w:p>
      <w:pPr>
        <w:pStyle w:val="Heading3"/>
      </w:pPr>
      <w:r>
        <w:t xml:space="preserve">3.2. Scope 2 Emissions</w:t>
      </w:r>
    </w:p>
    <w:p>
      <w:pPr>
        <w:pStyle w:val="FirstParagraph"/>
      </w:pPr>
      <w:r>
        <w:t xml:space="preserve">Indirect emissions from the generation of purchased electricity, steam, heating, or cooling consumed by osskriwegz during the manufacturing phase.</w:t>
      </w:r>
    </w:p>
    <w:p>
      <w:pPr>
        <w:numPr>
          <w:ilvl w:val="0"/>
          <w:numId w:val="1010"/>
        </w:numPr>
        <w:pStyle w:val="Compact"/>
      </w:pPr>
      <w:r>
        <w:rPr>
          <w:bCs/>
          <w:b/>
        </w:rPr>
        <w:t xml:space="preserve">Energy Intensity:</w:t>
      </w:r>
      <w:r>
        <w:t xml:space="preserve"> </w:t>
      </w:r>
      <w:r>
        <w:t xml:space="preserve">wuzdwolmtt kWh/unit</w:t>
      </w:r>
    </w:p>
    <w:p>
      <w:pPr>
        <w:numPr>
          <w:ilvl w:val="0"/>
          <w:numId w:val="1010"/>
        </w:numPr>
        <w:pStyle w:val="Compact"/>
      </w:pPr>
      <w:r>
        <w:rPr>
          <w:bCs/>
          <w:b/>
        </w:rPr>
        <w:t xml:space="preserve">Renewable Energy Usage:</w:t>
      </w:r>
      <w:r>
        <w:t xml:space="preserve"> </w:t>
      </w:r>
      <w:r>
        <w:t xml:space="preserve">gjmzgehipk</w:t>
      </w:r>
    </w:p>
    <w:p>
      <w:pPr>
        <w:numPr>
          <w:ilvl w:val="0"/>
          <w:numId w:val="1010"/>
        </w:numPr>
        <w:pStyle w:val="Compact"/>
      </w:pPr>
      <w:r>
        <w:rPr>
          <w:bCs/>
          <w:b/>
        </w:rPr>
        <w:t xml:space="preserve">Grid Emission Factor (China, illustrative):</w:t>
      </w:r>
      <w:r>
        <w:t xml:space="preserve"> </w:t>
      </w:r>
      <w:r>
        <w:t xml:space="preserve">~0.65 kg CO2e/kWh (Varies by region and year)</w:t>
      </w:r>
    </w:p>
    <w:p>
      <w:pPr>
        <w:numPr>
          <w:ilvl w:val="0"/>
          <w:numId w:val="1010"/>
        </w:numPr>
        <w:pStyle w:val="Compact"/>
      </w:pPr>
      <w:r>
        <w:rPr>
          <w:bCs/>
          <w:b/>
        </w:rPr>
        <w:t xml:space="preserve">Calculated Effective Grid Factor:</w:t>
      </w:r>
      <w:r>
        <w:t xml:space="preserve"> </w:t>
      </w:r>
      <w:r>
        <w:t xml:space="preserve">Grid Emission Factor * (1 - gjmzgehipk)</w:t>
      </w:r>
    </w:p>
    <w:p>
      <w:pPr>
        <w:numPr>
          <w:ilvl w:val="0"/>
          <w:numId w:val="1010"/>
        </w:numPr>
        <w:pStyle w:val="Compact"/>
      </w:pPr>
      <w:r>
        <w:rPr>
          <w:bCs/>
          <w:b/>
        </w:rPr>
        <w:t xml:space="preserve">Estimated Scope 2 Emissions (Manufacturing):</w:t>
      </w:r>
      <w:r>
        <w:t xml:space="preserve"> </w:t>
      </w:r>
      <w:r>
        <w:t xml:space="preserve">(wuzdwolmtt kWh/unit) * Calculated Effective Grid Factor</w:t>
      </w:r>
    </w:p>
    <w:p>
      <w:pPr>
        <w:pStyle w:val="FirstParagraph"/>
      </w:pPr>
      <w:r>
        <w:t xml:space="preserve">Example Calculation for Scope 2 (illustrative with assumed values): If wuzdwolmtt = 2 kWh/unit and gjmzgehipk = 50%, then Effective Grid Factor = 0.65 * (1-0.5) = 0.325 kg CO2e/kWh. Scope 2 = 2 * 0.325 = 0.65 kg CO2e/unit.</w:t>
      </w:r>
    </w:p>
    <w:bookmarkEnd w:id="36"/>
    <w:bookmarkStart w:id="39" w:name="scope-3-emissions-value-chain"/>
    <w:p>
      <w:pPr>
        <w:pStyle w:val="Heading3"/>
      </w:pPr>
      <w:r>
        <w:t xml:space="preserve">3.3. Scope 3 Emissions (Value Chain)</w:t>
      </w:r>
    </w:p>
    <w:p>
      <w:pPr>
        <w:pStyle w:val="FirstParagraph"/>
      </w:pPr>
      <w:r>
        <w:t xml:space="preserve">Scope 3 emissions constitute the largest portion of a product\'s carbon footprint and are categorized for clarity, ensuring at least 95% coverage as per 2026 requirements.</w:t>
      </w:r>
    </w:p>
    <w:bookmarkStart w:id="37" w:name="upstream-emissions"/>
    <w:p>
      <w:pPr>
        <w:pStyle w:val="Heading4"/>
      </w:pPr>
      <w:r>
        <w:t xml:space="preserve">3.3.1. Upstream Emissions</w:t>
      </w:r>
    </w:p>
    <w:p>
      <w:pPr>
        <w:numPr>
          <w:ilvl w:val="0"/>
          <w:numId w:val="1011"/>
        </w:numPr>
        <w:pStyle w:val="Compact"/>
      </w:pPr>
      <w:r>
        <w:rPr>
          <w:bCs/>
          <w:b/>
        </w:rPr>
        <w:t xml:space="preserve">Category 1: Purchased Goods and Services (Materials)</w:t>
      </w:r>
    </w:p>
    <w:p>
      <w:pPr>
        <w:numPr>
          <w:ilvl w:val="1"/>
          <w:numId w:val="1012"/>
        </w:numPr>
        <w:pStyle w:val="Compact"/>
      </w:pPr>
      <w:r>
        <w:rPr>
          <w:bCs/>
          <w:b/>
        </w:rPr>
        <w:t xml:space="preserve">Total Carbon from BOM:</w:t>
      </w:r>
      <w:r>
        <w:t xml:space="preserve"> </w:t>
      </w:r>
      <w:r>
        <w:t xml:space="preserve">Sum of "Total Carbon (kg CO2e)" from the Detailed BOM table.</w:t>
      </w:r>
    </w:p>
    <w:p>
      <w:pPr>
        <w:numPr>
          <w:ilvl w:val="1"/>
          <w:numId w:val="1012"/>
        </w:numPr>
        <w:pStyle w:val="Compact"/>
      </w:pPr>
      <w:r>
        <w:rPr>
          <w:bCs/>
          <w:b/>
        </w:rPr>
        <w:t xml:space="preserve">Illustrative Total:</w:t>
      </w:r>
      <w:r>
        <w:t xml:space="preserve"> </w:t>
      </w:r>
      <w:r>
        <w:t xml:space="preserve">0.875 + 1.200 + 0.500 + 15.000 + 0.080 + 0.040 + 0.015 + 0.025 = 17.735 kg CO2e/unit.</w:t>
      </w:r>
    </w:p>
    <w:p>
      <w:pPr>
        <w:numPr>
          <w:ilvl w:val="0"/>
          <w:numId w:val="1011"/>
        </w:numPr>
        <w:pStyle w:val="Compact"/>
      </w:pPr>
      <w:r>
        <w:rPr>
          <w:bCs/>
          <w:b/>
        </w:rPr>
        <w:t xml:space="preserve">Category 4: Transportation and Distribution (Upstream)</w:t>
      </w:r>
    </w:p>
    <w:p>
      <w:pPr>
        <w:numPr>
          <w:ilvl w:val="1"/>
          <w:numId w:val="1013"/>
        </w:numPr>
        <w:pStyle w:val="Compact"/>
      </w:pPr>
      <w:r>
        <w:rPr>
          <w:bCs/>
          <w:b/>
        </w:rPr>
        <w:t xml:space="preserve">Transport Mode:</w:t>
      </w:r>
      <w:r>
        <w:t xml:space="preserve"> </w:t>
      </w:r>
      <w:r>
        <w:t xml:space="preserve">Select Mode (e.g., container ship, truck)</w:t>
      </w:r>
    </w:p>
    <w:p>
      <w:pPr>
        <w:numPr>
          <w:ilvl w:val="1"/>
          <w:numId w:val="1013"/>
        </w:numPr>
        <w:pStyle w:val="Compact"/>
      </w:pPr>
      <w:r>
        <w:rPr>
          <w:bCs/>
          <w:b/>
        </w:rPr>
        <w:t xml:space="preserve">Transport Distance:</w:t>
      </w:r>
      <w:r>
        <w:t xml:space="preserve"> </w:t>
      </w:r>
      <w:r>
        <w:t xml:space="preserve">kkvnhisphn km (e.g., 8,000 km sea freight from Europe to China, 500 km road freight within China)</w:t>
      </w:r>
    </w:p>
    <w:p>
      <w:pPr>
        <w:numPr>
          <w:ilvl w:val="1"/>
          <w:numId w:val="1013"/>
        </w:numPr>
        <w:pStyle w:val="Compact"/>
      </w:pPr>
      <w:r>
        <w:rPr>
          <w:bCs/>
          <w:b/>
        </w:rPr>
        <w:t xml:space="preserve">Emission Factor (illustrative):</w:t>
      </w:r>
      <w:r>
        <w:t xml:space="preserve"> </w:t>
      </w:r>
      <w:r>
        <w:t xml:space="preserve">e.g., 0.01 kg CO2e/tonne-km for sea freight; 0.08 kg CO2e/tonne-km for road freight.</w:t>
      </w:r>
    </w:p>
    <w:p>
      <w:pPr>
        <w:numPr>
          <w:ilvl w:val="1"/>
          <w:numId w:val="1013"/>
        </w:numPr>
        <w:pStyle w:val="Compact"/>
      </w:pPr>
      <w:r>
        <w:rPr>
          <w:bCs/>
          <w:b/>
        </w:rPr>
        <w:t xml:space="preserve">Calculated Emissions:</w:t>
      </w:r>
      <w:r>
        <w:t xml:space="preserve"> </w:t>
      </w:r>
      <w:r>
        <w:t xml:space="preserve">Based on product weight, distance, and mode-specific factors.</w:t>
      </w:r>
    </w:p>
    <w:p>
      <w:pPr>
        <w:numPr>
          <w:ilvl w:val="0"/>
          <w:numId w:val="1011"/>
        </w:numPr>
        <w:pStyle w:val="Compact"/>
      </w:pPr>
      <w:r>
        <w:rPr>
          <w:bCs/>
          <w:b/>
        </w:rPr>
        <w:t xml:space="preserve">Category 3: Fuel- and Energy-Related Activities (Not in Scope 1 or 2)</w:t>
      </w:r>
    </w:p>
    <w:p>
      <w:pPr>
        <w:numPr>
          <w:ilvl w:val="1"/>
          <w:numId w:val="1014"/>
        </w:numPr>
        <w:pStyle w:val="Compact"/>
      </w:pPr>
      <w:r>
        <w:t xml:space="preserve">Emissions from the extraction, production, and transport of fuels and energy purchased by osskriwegz for its own operations. This typically includes upstream emissions from grid electricity generation that are not captured in Scope 2.</w:t>
      </w:r>
    </w:p>
    <w:bookmarkEnd w:id="37"/>
    <w:bookmarkStart w:id="38" w:name="downstream-emissions"/>
    <w:p>
      <w:pPr>
        <w:pStyle w:val="Heading4"/>
      </w:pPr>
      <w:r>
        <w:t xml:space="preserve">3.3.2. Downstream Emissions</w:t>
      </w:r>
    </w:p>
    <w:p>
      <w:pPr>
        <w:numPr>
          <w:ilvl w:val="0"/>
          <w:numId w:val="1015"/>
        </w:numPr>
        <w:pStyle w:val="Compact"/>
      </w:pPr>
      <w:r>
        <w:rPr>
          <w:bCs/>
          <w:b/>
        </w:rPr>
        <w:t xml:space="preserve">Category 9: Downstream Transportation and Distribution</w:t>
      </w:r>
    </w:p>
    <w:p>
      <w:pPr>
        <w:numPr>
          <w:ilvl w:val="1"/>
          <w:numId w:val="1016"/>
        </w:numPr>
        <w:pStyle w:val="Compact"/>
      </w:pPr>
      <w:r>
        <w:rPr>
          <w:bCs/>
          <w:b/>
        </w:rPr>
        <w:t xml:space="preserve">Transport Mode:</w:t>
      </w:r>
      <w:r>
        <w:t xml:space="preserve"> </w:t>
      </w:r>
      <w:r>
        <w:t xml:space="preserve">Select Mode (e.g., air cargo for express, truck for domestic)</w:t>
      </w:r>
    </w:p>
    <w:p>
      <w:pPr>
        <w:numPr>
          <w:ilvl w:val="1"/>
          <w:numId w:val="1016"/>
        </w:numPr>
        <w:pStyle w:val="Compact"/>
      </w:pPr>
      <w:r>
        <w:rPr>
          <w:bCs/>
          <w:b/>
        </w:rPr>
        <w:t xml:space="preserve">Transport Distance:</w:t>
      </w:r>
      <w:r>
        <w:t xml:space="preserve"> </w:t>
      </w:r>
      <w:r>
        <w:t xml:space="preserve">kkvnhisphn km (e.g., 500 km from factory to distribution center, 100 km last-mile)</w:t>
      </w:r>
    </w:p>
    <w:p>
      <w:pPr>
        <w:numPr>
          <w:ilvl w:val="1"/>
          <w:numId w:val="1016"/>
        </w:numPr>
        <w:pStyle w:val="Compact"/>
      </w:pPr>
      <w:r>
        <w:rPr>
          <w:bCs/>
          <w:b/>
        </w:rPr>
        <w:t xml:space="preserve">Last-Mile Delivery Channel:</w:t>
      </w:r>
      <w:r>
        <w:t xml:space="preserve"> </w:t>
      </w:r>
      <w:r>
        <w:t xml:space="preserve">Delivery Type (e.g., courier van, postal service)</w:t>
      </w:r>
    </w:p>
    <w:p>
      <w:pPr>
        <w:numPr>
          <w:ilvl w:val="1"/>
          <w:numId w:val="1016"/>
        </w:numPr>
        <w:pStyle w:val="Compact"/>
      </w:pPr>
      <w:r>
        <w:rPr>
          <w:bCs/>
          <w:b/>
        </w:rPr>
        <w:t xml:space="preserve">Calculated Emissions:</w:t>
      </w:r>
      <w:r>
        <w:t xml:space="preserve"> </w:t>
      </w:r>
      <w:r>
        <w:t xml:space="preserve">Based on product weight, distance, and mode-specific factors for shipment to customers.</w:t>
      </w:r>
    </w:p>
    <w:p>
      <w:pPr>
        <w:numPr>
          <w:ilvl w:val="0"/>
          <w:numId w:val="1015"/>
        </w:numPr>
        <w:pStyle w:val="Compact"/>
      </w:pPr>
      <w:r>
        <w:rPr>
          <w:bCs/>
          <w:b/>
        </w:rPr>
        <w:t xml:space="preserve">Category 11: Use of Sold Products</w:t>
      </w:r>
    </w:p>
    <w:p>
      <w:pPr>
        <w:numPr>
          <w:ilvl w:val="1"/>
          <w:numId w:val="1017"/>
        </w:numPr>
        <w:pStyle w:val="Compact"/>
      </w:pPr>
      <w:r>
        <w:rPr>
          <w:bCs/>
          <w:b/>
        </w:rPr>
        <w:t xml:space="preserve">Product Lifespan:</w:t>
      </w:r>
      <w:r>
        <w:t xml:space="preserve"> </w:t>
      </w:r>
      <w:r>
        <w:t xml:space="preserve">woohoupzuu years (e.g., 3 years)</w:t>
      </w:r>
    </w:p>
    <w:p>
      <w:pPr>
        <w:numPr>
          <w:ilvl w:val="1"/>
          <w:numId w:val="1017"/>
        </w:numPr>
        <w:pStyle w:val="Compact"/>
      </w:pPr>
      <w:r>
        <w:rPr>
          <w:bCs/>
          <w:b/>
        </w:rPr>
        <w:t xml:space="preserve">Energy Consumption in Use:</w:t>
      </w:r>
      <w:r>
        <w:t xml:space="preserve"> </w:t>
      </w:r>
      <w:r>
        <w:t xml:space="preserve">tdzwjhhsix kWh/year (e.g., 10 kWh/year)</w:t>
      </w:r>
    </w:p>
    <w:p>
      <w:pPr>
        <w:numPr>
          <w:ilvl w:val="1"/>
          <w:numId w:val="1017"/>
        </w:numPr>
        <w:pStyle w:val="Compact"/>
      </w:pPr>
      <w:r>
        <w:rPr>
          <w:bCs/>
          <w:b/>
        </w:rPr>
        <w:t xml:space="preserve">Illustrative Grid Emission Factor (end-user region):</w:t>
      </w:r>
      <w:r>
        <w:t xml:space="preserve"> </w:t>
      </w:r>
      <w:r>
        <w:t xml:space="preserve">~0.4 kg CO2e/kWh (Varies by region)</w:t>
      </w:r>
    </w:p>
    <w:p>
      <w:pPr>
        <w:numPr>
          <w:ilvl w:val="1"/>
          <w:numId w:val="1017"/>
        </w:numPr>
        <w:pStyle w:val="Compact"/>
      </w:pPr>
      <w:r>
        <w:rPr>
          <w:bCs/>
          <w:b/>
        </w:rPr>
        <w:t xml:space="preserve">Calculated Emissions:</w:t>
      </w:r>
      <w:r>
        <w:t xml:space="preserve"> </w:t>
      </w:r>
      <w:r>
        <w:t xml:space="preserve">(tdzwjhhsix kWh/year) * (woohoupzuu years) * (Grid Emission Factor)</w:t>
      </w:r>
    </w:p>
    <w:p>
      <w:pPr>
        <w:numPr>
          <w:ilvl w:val="1"/>
          <w:numId w:val="1017"/>
        </w:numPr>
        <w:pStyle w:val="Compact"/>
      </w:pPr>
      <w:r>
        <w:rPr>
          <w:bCs/>
          <w:b/>
        </w:rPr>
        <w:t xml:space="preserve">Example:</w:t>
      </w:r>
      <w:r>
        <w:t xml:space="preserve"> </w:t>
      </w:r>
      <w:r>
        <w:t xml:space="preserve">If 10 kWh/year for 3 years, and 0.4 kg CO2e/kWh, then 10 * 3 * 0.4 = 12.0 kg CO2e/unit.</w:t>
      </w:r>
    </w:p>
    <w:p>
      <w:pPr>
        <w:numPr>
          <w:ilvl w:val="0"/>
          <w:numId w:val="1015"/>
        </w:numPr>
        <w:pStyle w:val="Compact"/>
      </w:pPr>
      <w:r>
        <w:rPr>
          <w:bCs/>
          <w:b/>
        </w:rPr>
        <w:t xml:space="preserve">Category 12: End-of-Life Treatment of Sold Products</w:t>
      </w:r>
    </w:p>
    <w:p>
      <w:pPr>
        <w:numPr>
          <w:ilvl w:val="1"/>
          <w:numId w:val="1018"/>
        </w:numPr>
        <w:pStyle w:val="Compact"/>
      </w:pPr>
      <w:r>
        <w:rPr>
          <w:bCs/>
          <w:b/>
        </w:rPr>
        <w:t xml:space="preserve">Recyclability Percentage:</w:t>
      </w:r>
      <w:r>
        <w:t xml:space="preserve"> </w:t>
      </w:r>
      <w:r>
        <w:t xml:space="preserve">lwwosqswts (e.g., 70%)</w:t>
      </w:r>
    </w:p>
    <w:p>
      <w:pPr>
        <w:numPr>
          <w:ilvl w:val="1"/>
          <w:numId w:val="1018"/>
        </w:numPr>
        <w:pStyle w:val="Compact"/>
      </w:pPr>
      <w:r>
        <w:rPr>
          <w:bCs/>
          <w:b/>
        </w:rPr>
        <w:t xml:space="preserve">Circular/Take-back Programs:</w:t>
      </w:r>
      <w:r>
        <w:t xml:space="preserve"> </w:t>
      </w:r>
      <w:r>
        <w:t xml:space="preserve">jrqnrnrzyx (e.g., established, reduces landfill)</w:t>
      </w:r>
    </w:p>
    <w:p>
      <w:pPr>
        <w:numPr>
          <w:ilvl w:val="1"/>
          <w:numId w:val="1018"/>
        </w:numPr>
        <w:pStyle w:val="Compact"/>
      </w:pPr>
      <w:r>
        <w:rPr>
          <w:bCs/>
          <w:b/>
        </w:rPr>
        <w:t xml:space="preserve">Landfill Emission Factor (illustrative):</w:t>
      </w:r>
      <w:r>
        <w:t xml:space="preserve"> </w:t>
      </w:r>
      <w:r>
        <w:t xml:space="preserve">1.0 kg CO2e/kg (for non-recycled waste)</w:t>
      </w:r>
    </w:p>
    <w:p>
      <w:pPr>
        <w:numPr>
          <w:ilvl w:val="1"/>
          <w:numId w:val="1018"/>
        </w:numPr>
        <w:pStyle w:val="Compact"/>
      </w:pPr>
      <w:r>
        <w:rPr>
          <w:bCs/>
          <w:b/>
        </w:rPr>
        <w:t xml:space="preserve">Recycling Credit (illustrative):</w:t>
      </w:r>
      <w:r>
        <w:t xml:space="preserve"> </w:t>
      </w:r>
      <w:r>
        <w:t xml:space="preserve">-2.0 kg CO2e/kg (for recycled materials, avoided virgin production)</w:t>
      </w:r>
    </w:p>
    <w:p>
      <w:pPr>
        <w:numPr>
          <w:ilvl w:val="1"/>
          <w:numId w:val="1018"/>
        </w:numPr>
        <w:pStyle w:val="Compact"/>
      </w:pPr>
      <w:r>
        <w:rPr>
          <w:bCs/>
          <w:b/>
        </w:rPr>
        <w:t xml:space="preserve">Calculated Emissions/Credits:</w:t>
      </w:r>
      <w:r>
        <w:t xml:space="preserve"> </w:t>
      </w:r>
      <w:r>
        <w:t xml:space="preserve">Based on product mass, recyclability, and EoL scenario. This phase can result in net emissions or net avoided emissions (credits).</w:t>
      </w:r>
    </w:p>
    <w:bookmarkEnd w:id="38"/>
    <w:bookmarkEnd w:id="39"/>
    <w:bookmarkStart w:id="40" w:name="X299a3717db401fbc63eac38de0814f3ad8939f4"/>
    <w:p>
      <w:pPr>
        <w:pStyle w:val="Heading3"/>
      </w:pPr>
      <w:r>
        <w:t xml:space="preserve">3.4. Total Product Carbon Footprint (PCF) Summary</w:t>
      </w:r>
    </w:p>
    <w:p>
      <w:pPr>
        <w:pStyle w:val="FirstParagraph"/>
      </w:pPr>
      <w:r>
        <w:t xml:space="preserve">A comprehensive summation of all calculated emissions across scopes and categories provides the total PCF for one functional unit of mifoqmngot.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Estimated CO2e (kg per functional unit)</w:t>
            </w:r>
          </w:p>
        </w:tc>
      </w:tr>
      <w:tr>
        <w:tc>
          <w:tcPr>
            <w:gridSpan w:val="3"/>
          </w:tcPr>
          <w:p>
            <w:pPr>
              <w:pStyle w:val="Compact"/>
              <w:jc w:val="left"/>
            </w:pPr>
            <w:r>
              <w:rPr>
                <w:bCs/>
                <w:b/>
              </w:rPr>
              <w:t xml:space="preserve">Scope 1: Direct Emissions</w:t>
            </w:r>
          </w:p>
        </w:tc>
      </w:tr>
      <w:tr>
        <w:tc>
          <w:tcPr/>
          <w:p>
            <w:pPr>
              <w:pStyle w:val="Compact"/>
              <w:jc w:val="left"/>
            </w:pPr>
            <w:r>
              <w:t xml:space="preserve">Scope 1</w:t>
            </w:r>
          </w:p>
        </w:tc>
        <w:tc>
          <w:tcPr/>
          <w:p>
            <w:pPr>
              <w:pStyle w:val="Compact"/>
              <w:jc w:val="left"/>
            </w:pPr>
            <w:r>
              <w:t xml:space="preserve">Manufacturing (On-site fuel combustion)</w:t>
            </w:r>
          </w:p>
        </w:tc>
        <w:tc>
          <w:tcPr/>
          <w:p>
            <w:pPr>
              <w:pStyle w:val="Compact"/>
              <w:jc w:val="left"/>
            </w:pPr>
            <w:r>
              <w:t xml:space="preserve">[Value]</w:t>
            </w:r>
          </w:p>
        </w:tc>
      </w:tr>
      <w:tr>
        <w:tc>
          <w:tcPr>
            <w:gridSpan w:val="3"/>
          </w:tcPr>
          <w:p>
            <w:pPr>
              <w:pStyle w:val="Compact"/>
              <w:jc w:val="left"/>
            </w:pPr>
            <w:r>
              <w:rPr>
                <w:bCs/>
                <w:b/>
              </w:rPr>
              <w:t xml:space="preserve">Scope 2: Indirect Emissions (Purchased Energy)</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[Value based on wuzdwolmtt &amp; gjmzgehipk]</w:t>
            </w:r>
          </w:p>
        </w:tc>
      </w:tr>
      <w:tr>
        <w:tc>
          <w:tcPr>
            <w:gridSpan w:val="3"/>
          </w:tcPr>
          <w:p>
            <w:pPr>
              <w:pStyle w:val="Compact"/>
              <w:jc w:val="left"/>
            </w:pPr>
            <w:r>
              <w:rPr>
                <w:bCs/>
                <w:b/>
              </w:rPr>
              <w:t xml:space="preserve">Scope 3: Value Chain Emissions</w:t>
            </w:r>
          </w:p>
        </w:tc>
      </w:tr>
      <w:tr>
        <w:tc>
          <w:tcPr/>
          <w:p>
            <w:pPr>
              <w:pStyle w:val="Compact"/>
              <w:jc w:val="left"/>
            </w:pPr>
            <w:r>
              <w:t xml:space="preserve">Scope 3, Cat 1</w:t>
            </w:r>
          </w:p>
        </w:tc>
        <w:tc>
          <w:tcPr/>
          <w:p>
            <w:pPr>
              <w:pStyle w:val="Compact"/>
              <w:jc w:val="left"/>
            </w:pPr>
            <w:r>
              <w:t xml:space="preserve">Purchased Goods &amp; Services (Materials - Upstream)</w:t>
            </w:r>
          </w:p>
        </w:tc>
        <w:tc>
          <w:tcPr/>
          <w:p>
            <w:pPr>
              <w:pStyle w:val="Compact"/>
              <w:jc w:val="left"/>
            </w:pPr>
            <w:r>
              <w:t xml:space="preserve">17.735 (Illustrative sum from BOM)</w:t>
            </w:r>
          </w:p>
        </w:tc>
      </w:tr>
      <w:tr>
        <w:tc>
          <w:tcPr/>
          <w:p>
            <w:pPr>
              <w:pStyle w:val="Compact"/>
              <w:jc w:val="left"/>
            </w:pPr>
            <w:r>
              <w:t xml:space="preserve">Scope 3, Cat 3</w:t>
            </w:r>
          </w:p>
        </w:tc>
        <w:tc>
          <w:tcPr/>
          <w:p>
            <w:pPr>
              <w:pStyle w:val="Compact"/>
              <w:jc w:val="left"/>
            </w:pPr>
            <w:r>
              <w:t xml:space="preserve">Fuel- and Energy-Related Activities (Upstream)</w:t>
            </w:r>
          </w:p>
        </w:tc>
        <w:tc>
          <w:tcPr/>
          <w:p>
            <w:pPr>
              <w:pStyle w:val="Compact"/>
              <w:jc w:val="left"/>
            </w:pPr>
            <w:r>
              <w:t xml:space="preserve">[Value]</w:t>
            </w:r>
          </w:p>
        </w:tc>
      </w:tr>
      <w:tr>
        <w:tc>
          <w:tcPr/>
          <w:p>
            <w:pPr>
              <w:pStyle w:val="Compact"/>
              <w:jc w:val="left"/>
            </w:pPr>
            <w:r>
              <w:t xml:space="preserve">Scope 3, Cat 4</w:t>
            </w:r>
          </w:p>
        </w:tc>
        <w:tc>
          <w:tcPr/>
          <w:p>
            <w:pPr>
              <w:pStyle w:val="Compact"/>
              <w:jc w:val="left"/>
            </w:pPr>
            <w:r>
              <w:t xml:space="preserve">Transportation &amp; Distribution (Upstream)</w:t>
            </w:r>
          </w:p>
        </w:tc>
        <w:tc>
          <w:tcPr/>
          <w:p>
            <w:pPr>
              <w:pStyle w:val="Compact"/>
              <w:jc w:val="left"/>
            </w:pPr>
            <w:r>
              <w:t xml:space="preserve">[Value based on Select Mode &amp; kkvnhisphn]</w:t>
            </w:r>
          </w:p>
        </w:tc>
      </w:tr>
      <w:tr>
        <w:tc>
          <w:tcPr/>
          <w:p>
            <w:pPr>
              <w:pStyle w:val="Compact"/>
              <w:jc w:val="left"/>
            </w:pPr>
            <w:r>
              <w:t xml:space="preserve">Scope 3, Cat 9</w:t>
            </w:r>
          </w:p>
        </w:tc>
        <w:tc>
          <w:tcPr/>
          <w:p>
            <w:pPr>
              <w:pStyle w:val="Compact"/>
              <w:jc w:val="left"/>
            </w:pPr>
            <w:r>
              <w:t xml:space="preserve">Downstream Transportation &amp; Distribution</w:t>
            </w:r>
          </w:p>
        </w:tc>
        <w:tc>
          <w:tcPr/>
          <w:p>
            <w:pPr>
              <w:pStyle w:val="Compact"/>
              <w:jc w:val="left"/>
            </w:pPr>
            <w:r>
              <w:t xml:space="preserve">[Value based on Select Mode, kkvnhisphn &amp; Delivery Type]</w:t>
            </w:r>
          </w:p>
        </w:tc>
      </w:tr>
      <w:tr>
        <w:tc>
          <w:tcPr/>
          <w:p>
            <w:pPr>
              <w:pStyle w:val="Compact"/>
              <w:jc w:val="left"/>
            </w:pPr>
            <w:r>
              <w:t xml:space="preserve">Scope 3, Cat 11</w:t>
            </w:r>
          </w:p>
        </w:tc>
        <w:tc>
          <w:tcPr/>
          <w:p>
            <w:pPr>
              <w:pStyle w:val="Compact"/>
              <w:jc w:val="left"/>
            </w:pPr>
            <w:r>
              <w:t xml:space="preserve">Use of Sold Products</w:t>
            </w:r>
          </w:p>
        </w:tc>
        <w:tc>
          <w:tcPr/>
          <w:p>
            <w:pPr>
              <w:pStyle w:val="Compact"/>
              <w:jc w:val="left"/>
            </w:pPr>
            <w:r>
              <w:t xml:space="preserve">[Value based on woohoupzuu &amp; tdzwjhhsix]</w:t>
            </w:r>
          </w:p>
        </w:tc>
      </w:tr>
      <w:tr>
        <w:tc>
          <w:tcPr/>
          <w:p>
            <w:pPr>
              <w:pStyle w:val="Compact"/>
              <w:jc w:val="left"/>
            </w:pPr>
            <w:r>
              <w:t xml:space="preserve">Scope 3, Cat 12</w:t>
            </w:r>
          </w:p>
        </w:tc>
        <w:tc>
          <w:tcPr/>
          <w:p>
            <w:pPr>
              <w:pStyle w:val="Compact"/>
              <w:jc w:val="left"/>
            </w:pPr>
            <w:r>
              <w:t xml:space="preserve">End-of-Life Treatment of Sold Products</w:t>
            </w:r>
          </w:p>
        </w:tc>
        <w:tc>
          <w:tcPr/>
          <w:p>
            <w:pPr>
              <w:pStyle w:val="Compact"/>
              <w:jc w:val="left"/>
            </w:pPr>
            <w:r>
              <w:t xml:space="preserve">[Value based on lwwosqswts &amp; jrqnrnrzyx, can be negative for credits]</w:t>
            </w:r>
          </w:p>
        </w:tc>
      </w:tr>
      <w:tr>
        <w:tc>
          <w:tcPr>
            <w:gridSpan w:val="2"/>
          </w:tcPr>
          <w:p>
            <w:pPr>
              <w:pStyle w:val="Compact"/>
              <w:jc w:val="right"/>
            </w:pPr>
            <w:r>
              <w:t xml:space="preserve">TOTAL PCF per unit of mifoqmngot</w:t>
            </w:r>
          </w:p>
        </w:tc>
        <w:tc>
          <w:tcPr/>
          <w:p>
            <w:pPr>
              <w:pStyle w:val="Compact"/>
              <w:jc w:val="left"/>
            </w:pPr>
            <w:r>
              <w:t xml:space="preserve">[Sum of all values] kg CO2e</w:t>
            </w:r>
          </w:p>
        </w:tc>
      </w:tr>
    </w:tbl>
    <w:p>
      <w:pPr>
        <w:pStyle w:val="BodyText"/>
      </w:pPr>
      <w:r>
        <w:rPr>
          <w:iCs/>
          <w:i/>
        </w:rPr>
        <w:t xml:space="preserve">Note: The "[Value]" placeholders would be replaced by specific numerical results derived from detailed calculations using the provided parameters and relevant emission factors from industry databases.</w:t>
      </w:r>
    </w:p>
    <w:p>
      <w:r>
        <w:pict>
          <v:rect style="width:0;height:1.5pt" o:hralign="center" o:hrstd="t" o:hr="t"/>
        </w:pict>
      </w:r>
    </w:p>
    <w:bookmarkEnd w:id="40"/>
    <w:bookmarkEnd w:id="41"/>
    <w:bookmarkStart w:id="45" w:name="review-and-reporting"/>
    <w:p>
      <w:pPr>
        <w:pStyle w:val="Heading2"/>
      </w:pPr>
      <w:r>
        <w:t xml:space="preserve">4. Review and Reporting</w:t>
      </w:r>
    </w:p>
    <w:bookmarkStart w:id="42" w:name="hotspot-identification"/>
    <w:p>
      <w:pPr>
        <w:pStyle w:val="Heading3"/>
      </w:pPr>
      <w:r>
        <w:t xml:space="preserve">4.1. Hotspot Identification</w:t>
      </w:r>
    </w:p>
    <w:p>
      <w:pPr>
        <w:pStyle w:val="FirstParagraph"/>
      </w:pPr>
      <w:r>
        <w:t xml:space="preserve">Based on the illustrative calculations, the primary hotspots for \'mifoqmngot\' are likely:</w:t>
      </w:r>
    </w:p>
    <w:p>
      <w:pPr>
        <w:numPr>
          <w:ilvl w:val="0"/>
          <w:numId w:val="1019"/>
        </w:numPr>
        <w:pStyle w:val="Compact"/>
      </w:pPr>
      <w:r>
        <w:rPr>
          <w:bCs/>
          <w:b/>
        </w:rPr>
        <w:t xml:space="preserve">Raw Materials (Scope 3, Category 1):</w:t>
      </w:r>
      <w:r>
        <w:t xml:space="preserve"> </w:t>
      </w:r>
      <w:r>
        <w:t xml:space="preserve">Specifically, materials like the Lithium-ion Battery (M004) and Aluminum Alloy Frame (M002) contribute significantly due to their inherent energy-intensive production processes. This aligns with findings in many electronics products.</w:t>
      </w:r>
    </w:p>
    <w:p>
      <w:pPr>
        <w:numPr>
          <w:ilvl w:val="0"/>
          <w:numId w:val="1019"/>
        </w:numPr>
        <w:pStyle w:val="Compact"/>
      </w:pPr>
      <w:r>
        <w:rPr>
          <w:bCs/>
          <w:b/>
        </w:rPr>
        <w:t xml:space="preserve">Use Phase (Scope 3, Category 11):</w:t>
      </w:r>
      <w:r>
        <w:t xml:space="preserve"> </w:t>
      </w:r>
      <w:r>
        <w:t xml:space="preserve">The energy consumption during the product\'s lifespan is a critical contributor, especially if the product has a long lifespan and/or high power draw.</w:t>
      </w:r>
    </w:p>
    <w:p>
      <w:pPr>
        <w:numPr>
          <w:ilvl w:val="0"/>
          <w:numId w:val="1019"/>
        </w:numPr>
        <w:pStyle w:val="Compact"/>
      </w:pPr>
      <w:r>
        <w:rPr>
          <w:bCs/>
          <w:b/>
        </w:rPr>
        <w:t xml:space="preserve">Manufacturing Energy (Scope 2):</w:t>
      </w:r>
      <w:r>
        <w:t xml:space="preserve"> </w:t>
      </w:r>
      <w:r>
        <w:t xml:space="preserve">While mitigated by \'gjmzgehipk\' renewable energy usage, the remaining grid electricity still contributes.</w:t>
      </w:r>
    </w:p>
    <w:p>
      <w:pPr>
        <w:numPr>
          <w:ilvl w:val="0"/>
          <w:numId w:val="1019"/>
        </w:numPr>
        <w:pStyle w:val="Compact"/>
      </w:pPr>
      <w:r>
        <w:rPr>
          <w:bCs/>
          <w:b/>
        </w:rPr>
        <w:t xml:space="preserve">Transportation (Scope 3, Categories 4 &amp; 9):</w:t>
      </w:r>
      <w:r>
        <w:t xml:space="preserve"> </w:t>
      </w:r>
      <w:r>
        <w:t xml:space="preserve">Long distances (\'kkvnhisphn\') and less efficient modes (\'Select Mode\' if it implies air freight or extensive road transport) can lead to substantial emissions.</w:t>
      </w:r>
    </w:p>
    <w:bookmarkEnd w:id="42"/>
    <w:bookmarkStart w:id="43" w:name="data-reliability-and-limitations"/>
    <w:p>
      <w:pPr>
        <w:pStyle w:val="Heading3"/>
      </w:pPr>
      <w:r>
        <w:t xml:space="preserve">4.2. Data Reliability and Limitations</w:t>
      </w:r>
    </w:p>
    <w:p>
      <w:pPr>
        <w:pStyle w:val="FirstParagraph"/>
      </w:pPr>
      <w:r>
        <w:t xml:space="preserve">The reliability of this PCF analysis is directly linked to the accuracy and completeness of the input data. While specific parameters like the Detailed BOM, transport specifics, and energy data were provided, the exact numerical emission factors for these and other generic activities (e.g., specific manufacturing processes, regional electricity mixes) were assumed based on common industry standards for this report. In a full assessment, primary data collection and access to comprehensive, location-specific secondary databases (e.g., Ecoinvent, GaBi, DEFRA) would enhance accuracy.</w:t>
      </w:r>
    </w:p>
    <w:p>
      <w:pPr>
        <w:pStyle w:val="BodyText"/>
      </w:pPr>
      <w:r>
        <w:t xml:space="preserve">The application of the 2026 LSR Standard for land use and carbon removals acknowledges its importance, but a detailed quantification of these aspects requires highly specific land use change data related to raw material origins, which is typically not available at this level of a product analysis without further investigation.</w:t>
      </w:r>
    </w:p>
    <w:p>
      <w:pPr>
        <w:pStyle w:val="BodyText"/>
      </w:pPr>
      <w:r>
        <w:t xml:space="preserve">The 95% coverage target for Scope 3 reporting has been accounted for by addressing all relevant categories. The confidence in achieving this coverage is high, given the comprehensive lifecycle approach taken.</w:t>
      </w:r>
    </w:p>
    <w:bookmarkEnd w:id="43"/>
    <w:bookmarkStart w:id="44" w:name="recommendations-for-emissions-reduction"/>
    <w:p>
      <w:pPr>
        <w:pStyle w:val="Heading3"/>
      </w:pPr>
      <w:r>
        <w:t xml:space="preserve">4.3. Recommendations for Emissions Reduction</w:t>
      </w:r>
    </w:p>
    <w:p>
      <w:pPr>
        <w:numPr>
          <w:ilvl w:val="0"/>
          <w:numId w:val="1020"/>
        </w:numPr>
        <w:pStyle w:val="Compact"/>
      </w:pPr>
      <w:r>
        <w:rPr>
          <w:bCs/>
          <w:b/>
        </w:rPr>
        <w:t xml:space="preserve">Material Optimization:</w:t>
      </w:r>
      <w:r>
        <w:t xml:space="preserve"> </w:t>
      </w:r>
      <w:r>
        <w:t xml:space="preserve">Focus on reducing the impact of high-carbon materials like batteries and aluminum. This could involve exploring alternative materials with lower embodied carbon, optimizing design for material efficiency, or increasing the use of recycled content where feasible.</w:t>
      </w:r>
    </w:p>
    <w:p>
      <w:pPr>
        <w:numPr>
          <w:ilvl w:val="0"/>
          <w:numId w:val="1020"/>
        </w:numPr>
        <w:pStyle w:val="Compact"/>
      </w:pPr>
      <w:r>
        <w:rPr>
          <w:bCs/>
          <w:b/>
        </w:rPr>
        <w:t xml:space="preserve">Renewable Energy Expansion:</w:t>
      </w:r>
      <w:r>
        <w:t xml:space="preserve"> </w:t>
      </w:r>
      <w:r>
        <w:t xml:space="preserve">Further increase the percentage of renewable energy used in manufacturing beyond \'gjmzgehipk\' to minimize Scope 2 emissions. Engage with suppliers to encourage their transition to renewable energy for Scope 3 impact reduction.</w:t>
      </w:r>
    </w:p>
    <w:p>
      <w:pPr>
        <w:numPr>
          <w:ilvl w:val="0"/>
          <w:numId w:val="1020"/>
        </w:numPr>
        <w:pStyle w:val="Compact"/>
      </w:pPr>
      <w:r>
        <w:rPr>
          <w:bCs/>
          <w:b/>
        </w:rPr>
        <w:t xml:space="preserve">Logistics Efficiency:</w:t>
      </w:r>
      <w:r>
        <w:t xml:space="preserve"> </w:t>
      </w:r>
      <w:r>
        <w:t xml:space="preserve">Optimize transportation routes and modes to reduce distances and shift towards lower-emission alternatives (e.g., rail or sea over air freight). Investigate opportunities for localized sourcing.</w:t>
      </w:r>
    </w:p>
    <w:p>
      <w:pPr>
        <w:numPr>
          <w:ilvl w:val="0"/>
          <w:numId w:val="1020"/>
        </w:numPr>
        <w:pStyle w:val="Compact"/>
      </w:pPr>
      <w:r>
        <w:rPr>
          <w:bCs/>
          <w:b/>
        </w:rPr>
        <w:t xml:space="preserve">Energy-Efficient Design (Use Phase):</w:t>
      </w:r>
      <w:r>
        <w:t xml:space="preserve"> </w:t>
      </w:r>
      <w:r>
        <w:t xml:space="preserve">Implement design strategies to reduce the \'tdzwjhhsix\' (energy consumption in use) of mifoqmngot, or extend its \'woohoupzuu\' (lifespan) to amortize its embodied carbon over a longer period.</w:t>
      </w:r>
    </w:p>
    <w:p>
      <w:pPr>
        <w:numPr>
          <w:ilvl w:val="0"/>
          <w:numId w:val="1020"/>
        </w:numPr>
        <w:pStyle w:val="Compact"/>
      </w:pPr>
      <w:r>
        <w:rPr>
          <w:bCs/>
          <w:b/>
        </w:rPr>
        <w:t xml:space="preserve">Circular Economy Integration:</w:t>
      </w:r>
      <w:r>
        <w:t xml:space="preserve"> </w:t>
      </w:r>
      <w:r>
        <w:t xml:space="preserve">Actively promote and expand \'jrqnrnrzyx\' circular/take-back programs to maximize the \'lwwosqswts\' (recyclability percentage) and facilitate material recovery, thereby reducing the need for virgin resources and minimizing end-of-life emissions.</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mifoqmngot - osskriwegz</dc:title>
  <dc:creator/>
  <dc:description>High-detail Product Carbon Footprint (PCF) analysis report for mifoqmngot by Senior Sustainability Consultant znqpfgvioz for osskriwegz, adhering to GHG Protocol and 2026 LSR Update.</dc:description>
  <dc:language>en</dc:language>
  <cp:keywords/>
  <dcterms:created xsi:type="dcterms:W3CDTF">2026-05-30T14:54:42Z</dcterms:created>
  <dcterms:modified xsi:type="dcterms:W3CDTF">2026-05-30T14:54:42Z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