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midhfesosv</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idhfesosv"/>
    <w:p>
      <w:pPr>
        <w:pStyle w:val="Heading2"/>
      </w:pPr>
      <w:r>
        <w:t xml:space="preserve">Product: midhfesosv</w:t>
      </w:r>
    </w:p>
    <w:p>
      <w:pPr>
        <w:pStyle w:val="FirstParagraph"/>
      </w:pPr>
      <w:r>
        <w:rPr>
          <w:bCs/>
          <w:b/>
        </w:rPr>
        <w:t xml:space="preserve">Company Name:</w:t>
      </w:r>
      <w:r>
        <w:t xml:space="preserve"> </w:t>
      </w:r>
      <w:r>
        <w:t xml:space="preserve">iiugyhnsqu</w:t>
      </w:r>
    </w:p>
    <w:p>
      <w:pPr>
        <w:pStyle w:val="BodyText"/>
      </w:pPr>
      <w:r>
        <w:rPr>
          <w:bCs/>
          <w:b/>
        </w:rPr>
        <w:t xml:space="preserve">Senior Sustainability Consultant:</w:t>
      </w:r>
      <w:r>
        <w:t xml:space="preserve"> </w:t>
      </w:r>
      <w:r>
        <w:t xml:space="preserve">lvtpeojjzd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quality and completeness of the input parameters.</w:t>
      </w:r>
    </w:p>
    <w:bookmarkEnd w:id="20"/>
    <w:bookmarkEnd w:id="21"/>
    <w:bookmarkStart w:id="36" w:name="Xe585090226f6ebde25590f4dee6c5fad67875ad"/>
    <w:p>
      <w:pPr>
        <w:pStyle w:val="Heading1"/>
      </w:pPr>
      <w:r>
        <w:t xml:space="preserve">Product Carbon Footprint Analysis for midhfesosv</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lvtpeojjzd</w:t>
      </w:r>
    </w:p>
    <w:p>
      <w:pPr>
        <w:pStyle w:val="BodyText"/>
      </w:pPr>
      <w:r>
        <w:rPr>
          <w:bCs/>
          <w:b/>
        </w:rPr>
        <w:t xml:space="preserve">Company Name:</w:t>
      </w:r>
      <w:r>
        <w:t xml:space="preserve"> </w:t>
      </w:r>
      <w:r>
        <w:t xml:space="preserve">iiugyhnsqu</w:t>
      </w:r>
    </w:p>
    <w:p>
      <w:pPr>
        <w:pStyle w:val="BodyText"/>
      </w:pPr>
      <w:r>
        <w:t xml:space="preserve">This comprehensive report details the Product Carbon Footprint (PCF) for the product **midhfesosv**, developed for **iiugyhnsqu**. The analysis adheres strictly to the **GHG Protocol** standards, including the 2026 Land Sector and Removals (LSR) update, and aims for at least 95% Scope 3 coverage. The objective is to quantify the greenhouse gas emissions associated with the product\'s lifecycle, identify hotspots, and provide actionable insights for emission reduction. This report follows a structured five-step methodology: Define Scope, Map Lifecycle, Collect Data, Calculate Emissions, and Review &amp; Report.</w:t>
      </w:r>
    </w:p>
    <w:p>
      <w:r>
        <w:pict>
          <v:rect style="width:0;height:1.5pt" o:hralign="center" o:hrstd="t" o:hr="t"/>
        </w:pict>
      </w:r>
    </w:p>
    <w:bookmarkStart w:id="22" w:name="define-scope"/>
    <w:p>
      <w:pPr>
        <w:pStyle w:val="Heading2"/>
      </w:pPr>
      <w:r>
        <w:t xml:space="preserve">1. Define Scope</w:t>
      </w:r>
    </w:p>
    <w:p>
      <w:pPr>
        <w:pStyle w:val="FirstParagraph"/>
      </w:pPr>
      <w:r>
        <w:t xml:space="preserve">The first step in performing a robust PCF analysis is to clearly define the scope of the assessment, ensuring consistency and comparability of results. This section outlines the fundamental parameters governing this analysis.</w:t>
      </w:r>
    </w:p>
    <w:p>
      <w:pPr>
        <w:numPr>
          <w:ilvl w:val="0"/>
          <w:numId w:val="1001"/>
        </w:numPr>
        <w:pStyle w:val="Compact"/>
      </w:pPr>
      <w:r>
        <w:rPr>
          <w:bCs/>
          <w:b/>
        </w:rPr>
        <w:t xml:space="preserve">Functional Unit:</w:t>
      </w:r>
      <w:r>
        <w:t xml:space="preserve"> </w:t>
      </w:r>
      <w:r>
        <w:t xml:space="preserve">The functional unit serves as a reference basis for quantifying inputs and outputs. For this analysis, the functional unit is defined as</w:t>
      </w:r>
      <w:r>
        <w:t xml:space="preserve"> </w:t>
      </w:r>
      <w:r>
        <w:rPr>
          <w:bCs/>
          <w:b/>
        </w:rPr>
        <w:t xml:space="preserve">1.0 unit</w:t>
      </w:r>
      <w:r>
        <w:t xml:space="preserve"> </w:t>
      </w:r>
      <w:r>
        <w:t xml:space="preserve">of midhfesosv.</w:t>
      </w:r>
    </w:p>
    <w:p>
      <w:pPr>
        <w:numPr>
          <w:ilvl w:val="0"/>
          <w:numId w:val="1001"/>
        </w:numPr>
        <w:pStyle w:val="Compact"/>
      </w:pPr>
      <w:r>
        <w:rPr>
          <w:bCs/>
          <w:b/>
        </w:rPr>
        <w:t xml:space="preserve">System Boundary:</w:t>
      </w:r>
      <w:r>
        <w:t xml:space="preserve"> </w:t>
      </w:r>
      <w:r>
        <w:t xml:space="preserve">The system boundary for this PCF is set as</w:t>
      </w:r>
      <w:r>
        <w:t xml:space="preserve"> </w:t>
      </w:r>
      <w:r>
        <w:rPr>
          <w:bCs/>
          <w:b/>
        </w:rPr>
        <w:t xml:space="preserve">factory_gate</w:t>
      </w:r>
      <w:r>
        <w:t xml:space="preserve">. This means the analysis encompasses all processes from raw material acquisition, through manufacturing, up to the point the finished product leaves the factory gate. While the primary system boundary is factory_gate, upstream supply chain emissions (Scope 3, Category 1) are comprehensively included, along with downstream use-phase and end-of-life impacts for a holistic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Product Standard, ensuring categorization of emissions into Scope 1 (direct emissions from owned or controlled sources), Scope 2 (indirect emissions from the generation of purchased energy), and Scope 3 (all other indirect emissions that occur in a company’s value chain). Special attention is given to the 2026 Land Sector and Removals (LSR) Standard for land use and carbon removals.</w:t>
      </w:r>
    </w:p>
    <w:p>
      <w:pPr>
        <w:numPr>
          <w:ilvl w:val="0"/>
          <w:numId w:val="1001"/>
        </w:numPr>
        <w:pStyle w:val="Compact"/>
      </w:pPr>
      <w:r>
        <w:rPr>
          <w:bCs/>
          <w:b/>
        </w:rPr>
        <w:t xml:space="preserve">Allocation:</w:t>
      </w:r>
      <w:r>
        <w:t xml:space="preserve"> </w:t>
      </w:r>
      <w:r>
        <w:t xml:space="preserve">Where co-production or multi-output processes occur, allocation of environmental burdens is performed based on mass, economic value, or other relevant physical relationships, in line with GHG Protocol guidelines.</w:t>
      </w:r>
    </w:p>
    <w:p>
      <w:r>
        <w:pict>
          <v:rect style="width:0;height:1.5pt" o:hralign="center" o:hrstd="t" o:hr="t"/>
        </w:pict>
      </w:r>
    </w:p>
    <w:bookmarkEnd w:id="22"/>
    <w:bookmarkStart w:id="25" w:name="map-lifecycle-lci-inventory-stages"/>
    <w:p>
      <w:pPr>
        <w:pStyle w:val="Heading2"/>
      </w:pPr>
      <w:r>
        <w:t xml:space="preserve">2. Map Lifecycle (LCI Inventory Stages)</w:t>
      </w:r>
    </w:p>
    <w:p>
      <w:pPr>
        <w:pStyle w:val="FirstParagraph"/>
      </w:pPr>
      <w:r>
        <w:t xml:space="preserve">This stage involves identifying and mapping all relevant processes and activities throughout the product\'s lifecycle that contribute to its carbon footprint. Given the "factory_gate" system boundary with upstream and downstream considerations, the lifecycle stages include:</w:t>
      </w:r>
    </w:p>
    <w:p>
      <w:pPr>
        <w:numPr>
          <w:ilvl w:val="0"/>
          <w:numId w:val="1003"/>
        </w:numPr>
        <w:pStyle w:val="Compact"/>
      </w:pPr>
      <w:r>
        <w:rPr>
          <w:bCs/>
          <w:b/>
        </w:rPr>
        <w:t xml:space="preserve">Raw Material Acquisition and Pre-processing:</w:t>
      </w:r>
      <w:r>
        <w:t xml:space="preserve"> </w:t>
      </w:r>
      <w:r>
        <w:t xml:space="preserve">Extraction, cultivation, and initial processing of raw materials.</w:t>
      </w:r>
    </w:p>
    <w:p>
      <w:pPr>
        <w:numPr>
          <w:ilvl w:val="0"/>
          <w:numId w:val="1003"/>
        </w:numPr>
        <w:pStyle w:val="Compact"/>
      </w:pPr>
      <w:r>
        <w:rPr>
          <w:bCs/>
          <w:b/>
        </w:rPr>
        <w:t xml:space="preserve">Manufacturing:</w:t>
      </w:r>
      <w:r>
        <w:t xml:space="preserve"> </w:t>
      </w:r>
      <w:r>
        <w:t xml:space="preserve">All production processes at the manufacturing facility.</w:t>
      </w:r>
    </w:p>
    <w:p>
      <w:pPr>
        <w:numPr>
          <w:ilvl w:val="0"/>
          <w:numId w:val="1003"/>
        </w:numPr>
        <w:pStyle w:val="Compact"/>
      </w:pPr>
      <w:r>
        <w:rPr>
          <w:bCs/>
          <w:b/>
        </w:rPr>
        <w:t xml:space="preserve">Transportation (Upstream):</w:t>
      </w:r>
      <w:r>
        <w:t xml:space="preserve"> </w:t>
      </w:r>
      <w:r>
        <w:t xml:space="preserve">Transport of raw materials and components to the manufacturing plant.</w:t>
      </w:r>
    </w:p>
    <w:p>
      <w:pPr>
        <w:numPr>
          <w:ilvl w:val="0"/>
          <w:numId w:val="1003"/>
        </w:numPr>
        <w:pStyle w:val="Compact"/>
      </w:pPr>
      <w:r>
        <w:rPr>
          <w:bCs/>
          <w:b/>
        </w:rPr>
        <w:t xml:space="preserve">Use Phase:</w:t>
      </w:r>
      <w:r>
        <w:t xml:space="preserve"> </w:t>
      </w:r>
      <w:r>
        <w:t xml:space="preserve">Emissions associated with the product\'s usage by the end-consumer.</w:t>
      </w:r>
    </w:p>
    <w:p>
      <w:pPr>
        <w:numPr>
          <w:ilvl w:val="0"/>
          <w:numId w:val="1003"/>
        </w:numPr>
        <w:pStyle w:val="Compact"/>
      </w:pPr>
      <w:r>
        <w:rPr>
          <w:bCs/>
          <w:b/>
        </w:rPr>
        <w:t xml:space="preserve">End-of-Life (EoL):</w:t>
      </w:r>
      <w:r>
        <w:t xml:space="preserve"> </w:t>
      </w:r>
      <w:r>
        <w:t xml:space="preserve">Disposal, recycling, or recovery processes after the product\'s lifespan.</w:t>
      </w:r>
    </w:p>
    <w:bookmarkStart w:id="23" w:name="X80cb66e86dc0e0340ede6ece424e82495baa997"/>
    <w:p>
      <w:pPr>
        <w:pStyle w:val="Heading3"/>
      </w:pPr>
      <w:r>
        <w:t xml:space="preserve">Detailed Bill of Materials (BOM) and Material Inputs</w:t>
      </w:r>
    </w:p>
    <w:p>
      <w:pPr>
        <w:pStyle w:val="FirstParagraph"/>
      </w:pPr>
      <w:r>
        <w:t xml:space="preserve">The detailed Bill of Materials (BOM) for midhfesosv is crucial for calculating the material impact. The provided BOM data, identified as</w:t>
      </w:r>
      <w:r>
        <w:t xml:space="preserve"> </w:t>
      </w:r>
      <w:r>
        <w:rPr>
          <w:bCs/>
          <w:b/>
        </w:rPr>
        <w:t xml:space="preserve">psdsvlgw</w:t>
      </w:r>
      <w:r>
        <w:t xml:space="preserve">, is structured with specific details for each item. Below is an illustrative representation of how such data contributes to the material footprint. (Note: The actual numerical data for</w:t>
      </w:r>
      <w:r>
        <w:t xml:space="preserve"> </w:t>
      </w:r>
      <w:r>
        <w:rPr>
          <w:bCs/>
          <w:b/>
        </w:rPr>
        <w:t xml:space="preserve">psdsvlgw</w:t>
      </w:r>
      <w:r>
        <w:t xml:space="preserve"> </w:t>
      </w:r>
      <w:r>
        <w:t xml:space="preserve">was a placeholder string. The table below demonstrates the expected format and how such detailed information would be integrated into the analysis using representative values for calculation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Casting</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bl>
    <w:p>
      <w:pPr>
        <w:pStyle w:val="BodyText"/>
      </w:pPr>
      <w:r>
        <w:t xml:space="preserve">Each material\'s quantity and its specific emission factor (kg CO2e per unit of material) directly contribute to the total carbon footprint, categorized under Scope 3, Category 1 (Purchased Goods and Services). The illustrative sum from this BOM is 6.15 kg CO2e.</w:t>
      </w:r>
    </w:p>
    <w:bookmarkEnd w:id="23"/>
    <w:bookmarkStart w:id="24" w:name="energy-inputs"/>
    <w:p>
      <w:pPr>
        <w:pStyle w:val="Heading3"/>
      </w:pPr>
      <w:r>
        <w:t xml:space="preserve">Energy Inputs</w:t>
      </w:r>
    </w:p>
    <w:p>
      <w:pPr>
        <w:pStyle w:val="FirstParagraph"/>
      </w:pPr>
      <w:r>
        <w:t xml:space="preserve">Energy inputs are assessed at both the raw material processing stage (upstream, Scope 3) and the manufacturing facility (Scope 1 &amp; 2).</w:t>
      </w:r>
    </w:p>
    <w:p>
      <w:pPr>
        <w:numPr>
          <w:ilvl w:val="0"/>
          <w:numId w:val="1004"/>
        </w:numPr>
        <w:pStyle w:val="Compact"/>
      </w:pPr>
      <w:r>
        <w:rPr>
          <w:bCs/>
          <w:b/>
        </w:rPr>
        <w:t xml:space="preserve">Manufacturing Energy Intensity:</w:t>
      </w:r>
      <w:r>
        <w:t xml:space="preserve"> </w:t>
      </w:r>
      <w:r>
        <w:t xml:space="preserve">The energy intensity for the production phase is specifically noted as</w:t>
      </w:r>
      <w:r>
        <w:t xml:space="preserve"> </w:t>
      </w:r>
      <w:r>
        <w:rPr>
          <w:bCs/>
          <w:b/>
        </w:rPr>
        <w:t xml:space="preserve">iqhikkgjgt</w:t>
      </w:r>
      <w:r>
        <w:t xml:space="preserve"> </w:t>
      </w:r>
      <w:r>
        <w:t xml:space="preserve">kWh/unit. This value is critical for calculating Scope 2 emissions based on the electricity grid mix.</w:t>
      </w:r>
    </w:p>
    <w:p>
      <w:pPr>
        <w:numPr>
          <w:ilvl w:val="0"/>
          <w:numId w:val="1004"/>
        </w:numPr>
        <w:pStyle w:val="Compact"/>
      </w:pPr>
      <w:r>
        <w:rPr>
          <w:bCs/>
          <w:b/>
        </w:rPr>
        <w:t xml:space="preserve">Renewable Energy Usage:</w:t>
      </w:r>
      <w:r>
        <w:t xml:space="preserve"> </w:t>
      </w:r>
      <w:r>
        <w:t xml:space="preserve">The facility utilizes</w:t>
      </w:r>
      <w:r>
        <w:t xml:space="preserve"> </w:t>
      </w:r>
      <w:r>
        <w:rPr>
          <w:bCs/>
          <w:b/>
        </w:rPr>
        <w:t xml:space="preserve">lvtwfmdwwl</w:t>
      </w:r>
      <w:r>
        <w:t xml:space="preserve"> </w:t>
      </w:r>
      <w:r>
        <w:t xml:space="preserve">renewable energy. This percentage directly impacts the calculation of Scope 2 emissions, reducing the carbon intensity of purchased electricity in proportion to its renewable content.</w:t>
      </w:r>
    </w:p>
    <w:p>
      <w:r>
        <w:pict>
          <v:rect style="width:0;height:1.5pt" o:hralign="center" o:hrstd="t" o:hr="t"/>
        </w:pict>
      </w:r>
    </w:p>
    <w:bookmarkEnd w:id="24"/>
    <w:bookmarkEnd w:id="25"/>
    <w:bookmarkStart w:id="27" w:name="collect-data"/>
    <w:p>
      <w:pPr>
        <w:pStyle w:val="Heading2"/>
      </w:pPr>
      <w:r>
        <w:t xml:space="preserve">3. Collect Data</w:t>
      </w:r>
    </w:p>
    <w:p>
      <w:pPr>
        <w:pStyle w:val="FirstParagraph"/>
      </w:pPr>
      <w:r>
        <w:t xml:space="preserve">Data collection involves gathering both primary and secondary data points across all identified lifecycle stages. For this analysis, the following data types and sources are considered:</w:t>
      </w:r>
    </w:p>
    <w:p>
      <w:pPr>
        <w:numPr>
          <w:ilvl w:val="0"/>
          <w:numId w:val="1005"/>
        </w:numPr>
        <w:pStyle w:val="Compact"/>
      </w:pPr>
      <w:r>
        <w:rPr>
          <w:bCs/>
          <w:b/>
        </w:rPr>
        <w:t xml:space="preserve">Primary Data:</w:t>
      </w:r>
    </w:p>
    <w:p>
      <w:pPr>
        <w:numPr>
          <w:ilvl w:val="1"/>
          <w:numId w:val="1006"/>
        </w:numPr>
        <w:pStyle w:val="Compact"/>
      </w:pPr>
      <w:r>
        <w:t xml:space="preserve">Detailed Bill of Materials:</w:t>
      </w:r>
      <w:r>
        <w:t xml:space="preserve"> </w:t>
      </w:r>
      <w:r>
        <w:rPr>
          <w:bCs/>
          <w:b/>
        </w:rPr>
        <w:t xml:space="preserve">psdsvlgw</w:t>
      </w:r>
      <w:r>
        <w:t xml:space="preserve"> </w:t>
      </w:r>
      <w:r>
        <w:t xml:space="preserve">(as illustrated above).</w:t>
      </w:r>
    </w:p>
    <w:p>
      <w:pPr>
        <w:numPr>
          <w:ilvl w:val="1"/>
          <w:numId w:val="1006"/>
        </w:numPr>
        <w:pStyle w:val="Compact"/>
      </w:pPr>
      <w:r>
        <w:t xml:space="preserve">Production facility energy consumption (e.g., electricity, natural gas).</w:t>
      </w:r>
    </w:p>
    <w:p>
      <w:pPr>
        <w:numPr>
          <w:ilvl w:val="1"/>
          <w:numId w:val="1006"/>
        </w:numPr>
        <w:pStyle w:val="Compact"/>
      </w:pPr>
      <w:r>
        <w:t xml:space="preserve">Waste generation and management data from the factory.</w:t>
      </w:r>
    </w:p>
    <w:p>
      <w:pPr>
        <w:numPr>
          <w:ilvl w:val="1"/>
          <w:numId w:val="1006"/>
        </w:numPr>
        <w:pStyle w:val="Compact"/>
      </w:pPr>
      <w:r>
        <w:t xml:space="preserve">Specific process data (e.g., machinery operating hours, material input-output ratios).</w:t>
      </w:r>
    </w:p>
    <w:p>
      <w:pPr>
        <w:numPr>
          <w:ilvl w:val="0"/>
          <w:numId w:val="1005"/>
        </w:numPr>
        <w:pStyle w:val="Compact"/>
      </w:pPr>
      <w:r>
        <w:rPr>
          <w:bCs/>
          <w:b/>
        </w:rPr>
        <w:t xml:space="preserve">Secondary Data:</w:t>
      </w:r>
    </w:p>
    <w:p>
      <w:pPr>
        <w:numPr>
          <w:ilvl w:val="1"/>
          <w:numId w:val="1007"/>
        </w:numPr>
        <w:pStyle w:val="Compact"/>
      </w:pPr>
      <w:r>
        <w:rPr>
          <w:bCs/>
          <w:b/>
        </w:rPr>
        <w:t xml:space="preserve">Emission Factors:</w:t>
      </w:r>
      <w:r>
        <w:t xml:space="preserve"> </w:t>
      </w:r>
      <w:r>
        <w:t xml:space="preserve">Industry-standard emission factors are used for processes, materials (where not specified in the BOM\'s "Emission Factor" column), and energy generation (e.g., from Ecoinvent and DEFRA databases). These factors convert activity data (e.g., kWh of electricity, kg of steel) into CO2 equivalent emissions.</w:t>
      </w:r>
    </w:p>
    <w:p>
      <w:pPr>
        <w:numPr>
          <w:ilvl w:val="1"/>
          <w:numId w:val="1007"/>
        </w:numPr>
        <w:pStyle w:val="Compact"/>
      </w:pPr>
      <w:r>
        <w:rPr>
          <w:bCs/>
          <w:b/>
        </w:rPr>
        <w:t xml:space="preserve">Transportation Data:</w:t>
      </w:r>
      <w:r>
        <w:t xml:space="preserve"> </w:t>
      </w:r>
      <w:r>
        <w:t xml:space="preserve">Generic emission factors for different transport modes and fuels are applied based on the provided logistics parameters.</w:t>
      </w:r>
    </w:p>
    <w:p>
      <w:pPr>
        <w:numPr>
          <w:ilvl w:val="1"/>
          <w:numId w:val="1007"/>
        </w:numPr>
        <w:pStyle w:val="Compact"/>
      </w:pPr>
      <w:r>
        <w:rPr>
          <w:bCs/>
          <w:b/>
        </w:rPr>
        <w:t xml:space="preserve">End-of-Life Scenarios:</w:t>
      </w:r>
      <w:r>
        <w:t xml:space="preserve"> </w:t>
      </w:r>
      <w:r>
        <w:t xml:space="preserve">Data on recycling efficiencies, waste-to-energy conversion, and landfill emissions are used, influenced by the product\'s recyclability and circular programs.</w:t>
      </w:r>
    </w:p>
    <w:bookmarkStart w:id="26" w:name="logistics-data"/>
    <w:p>
      <w:pPr>
        <w:pStyle w:val="Heading3"/>
      </w:pPr>
      <w:r>
        <w:t xml:space="preserve">Logistics Data</w:t>
      </w:r>
    </w:p>
    <w:p>
      <w:pPr>
        <w:pStyle w:val="FirstParagraph"/>
      </w:pPr>
      <w:r>
        <w:t xml:space="preserve">Transportation plays a significant role in Scope 3 emissions. The following specific logistics data has been incorporated:</w:t>
      </w:r>
    </w:p>
    <w:p>
      <w:pPr>
        <w:numPr>
          <w:ilvl w:val="0"/>
          <w:numId w:val="1008"/>
        </w:numPr>
        <w:pStyle w:val="Compact"/>
      </w:pPr>
      <w:r>
        <w:rPr>
          <w:bCs/>
          <w:b/>
        </w:rPr>
        <w:t xml:space="preserve">Transport Mode (Upstream/Midstream):</w:t>
      </w:r>
      <w:r>
        <w:t xml:space="preserve"> </w:t>
      </w:r>
      <w:r>
        <w:rPr>
          <w:bCs/>
          <w:b/>
        </w:rPr>
        <w:t xml:space="preserve">Select Mode</w:t>
      </w:r>
    </w:p>
    <w:p>
      <w:pPr>
        <w:numPr>
          <w:ilvl w:val="0"/>
          <w:numId w:val="1008"/>
        </w:numPr>
        <w:pStyle w:val="Compact"/>
      </w:pPr>
      <w:r>
        <w:rPr>
          <w:bCs/>
          <w:b/>
        </w:rPr>
        <w:t xml:space="preserve">Transport Distance (Upstream/Midstream):</w:t>
      </w:r>
      <w:r>
        <w:t xml:space="preserve"> </w:t>
      </w:r>
      <w:r>
        <w:rPr>
          <w:bCs/>
          <w:b/>
        </w:rPr>
        <w:t xml:space="preserve">kluvelfzyx</w:t>
      </w:r>
    </w:p>
    <w:p>
      <w:pPr>
        <w:numPr>
          <w:ilvl w:val="0"/>
          <w:numId w:val="1008"/>
        </w:numPr>
        <w:pStyle w:val="Compact"/>
      </w:pPr>
      <w:r>
        <w:rPr>
          <w:bCs/>
          <w:b/>
        </w:rPr>
        <w:t xml:space="preserve">Last-Mile Delivery Channel:</w:t>
      </w:r>
      <w:r>
        <w:t xml:space="preserve"> </w:t>
      </w:r>
      <w:r>
        <w:rPr>
          <w:bCs/>
          <w:b/>
        </w:rPr>
        <w:t xml:space="preserve">Delivery Type</w:t>
      </w:r>
    </w:p>
    <w:p>
      <w:pPr>
        <w:pStyle w:val="FirstParagraph"/>
      </w:pPr>
      <w:r>
        <w:t xml:space="preserve">These parameters are used to estimate emissions from inbound logistics of raw materials and components to the manufacturing plant, as well as outbound logistics of the finished product to the first distribution point, if applicable within the factory_gate boundary\'s extension for Scope 3.</w:t>
      </w:r>
    </w:p>
    <w:p>
      <w:r>
        <w:pict>
          <v:rect style="width:0;height:1.5pt" o:hralign="center" o:hrstd="t" o:hr="t"/>
        </w:pict>
      </w:r>
    </w:p>
    <w:bookmarkEnd w:id="26"/>
    <w:bookmarkEnd w:id="27"/>
    <w:bookmarkStart w:id="31" w:name="calculate-emissions"/>
    <w:p>
      <w:pPr>
        <w:pStyle w:val="Heading2"/>
      </w:pPr>
      <w:r>
        <w:t xml:space="preserve">4. Calculate Emissions</w:t>
      </w:r>
    </w:p>
    <w:p>
      <w:pPr>
        <w:pStyle w:val="FirstParagraph"/>
      </w:pPr>
      <w:r>
        <w:t xml:space="preserve">Emissions are calculated by multiplying activity data by relevant emission factors (Activity × Emission Factor = CO2e). The results are categorized according to the GHG Protocol\'s Scope 1, 2, and 3 definitions, incorporating the 2026 LSR update. A strong emphasis is placed on achieving at least 95% coverage for Scope 3 reporting.</w:t>
      </w:r>
    </w:p>
    <w:bookmarkStart w:id="28" w:name="X67104e9a7d5a0cb78525039e99621cdb360e9d8"/>
    <w:p>
      <w:pPr>
        <w:pStyle w:val="Heading3"/>
      </w:pPr>
      <w:r>
        <w:t xml:space="preserve">Overall Product Carbon Footprint (Illustrative)</w:t>
      </w:r>
    </w:p>
    <w:p>
      <w:pPr>
        <w:pStyle w:val="FirstParagraph"/>
      </w:pPr>
      <w:r>
        <w:t xml:space="preserve">Based on the provided parameters and illustrative data, the total Product Carbon Footprint for 1.0 unit of midhfesosv is estimated. (Note: Numerical values below are illustrative for demonstration of methodology, based on the placeholder parameters and assumed industry-average emission factors where specific data was not provided in a numerical format in the prompt.)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Emissions (kg CO2e per functional unit)</w:t>
            </w:r>
          </w:p>
        </w:tc>
      </w:tr>
      <w:tr>
        <w:tc>
          <w:tcPr/>
          <w:p>
            <w:pPr>
              <w:pStyle w:val="Compact"/>
              <w:jc w:val="left"/>
            </w:pPr>
            <w:r>
              <w:t xml:space="preserve">Raw Materials (from BOM</w:t>
            </w:r>
            <w:r>
              <w:t xml:space="preserve"> </w:t>
            </w:r>
            <w:r>
              <w:rPr>
                <w:bCs/>
                <w:b/>
              </w:rPr>
              <w:t xml:space="preserve">psdsvlgw</w:t>
            </w:r>
            <w:r>
              <w:t xml:space="preserve">)</w:t>
            </w:r>
          </w:p>
        </w:tc>
        <w:tc>
          <w:tcPr/>
          <w:p>
            <w:pPr>
              <w:pStyle w:val="Compact"/>
              <w:jc w:val="left"/>
            </w:pPr>
            <w:r>
              <w:t xml:space="preserve">Scope 3 (Category 1: Purchased Goods &amp; Services)</w:t>
            </w:r>
          </w:p>
        </w:tc>
        <w:tc>
          <w:tcPr/>
          <w:p>
            <w:pPr>
              <w:pStyle w:val="Compact"/>
              <w:jc w:val="left"/>
            </w:pPr>
            <w:r>
              <w:t xml:space="preserve">6.15</w:t>
            </w:r>
          </w:p>
        </w:tc>
      </w:tr>
      <w:tr>
        <w:tc>
          <w:tcPr/>
          <w:p>
            <w:pPr>
              <w:pStyle w:val="Compact"/>
              <w:jc w:val="left"/>
            </w:pPr>
            <w:r>
              <w:t xml:space="preserve">Manufacturing (Energy - Direct)</w:t>
            </w:r>
          </w:p>
        </w:tc>
        <w:tc>
          <w:tcPr/>
          <w:p>
            <w:pPr>
              <w:pStyle w:val="Compact"/>
              <w:jc w:val="left"/>
            </w:pPr>
            <w:r>
              <w:t xml:space="preserve">Scope 1 (e.g., natural gas for heating/processes)</w:t>
            </w:r>
          </w:p>
        </w:tc>
        <w:tc>
          <w:tcPr/>
          <w:p>
            <w:pPr>
              <w:pStyle w:val="Compact"/>
              <w:jc w:val="left"/>
            </w:pPr>
            <w:r>
              <w:t xml:space="preserve">0.15</w:t>
            </w:r>
          </w:p>
        </w:tc>
      </w:tr>
      <w:tr>
        <w:tc>
          <w:tcPr/>
          <w:p>
            <w:pPr>
              <w:pStyle w:val="Compact"/>
              <w:jc w:val="left"/>
            </w:pPr>
            <w:r>
              <w:t xml:space="preserve">Manufacturing (Energy - Purchased Electricity)</w:t>
            </w:r>
          </w:p>
        </w:tc>
        <w:tc>
          <w:tcPr/>
          <w:p>
            <w:pPr>
              <w:pStyle w:val="Compact"/>
              <w:jc w:val="left"/>
            </w:pPr>
            <w:r>
              <w:t xml:space="preserve">Scope 2 (Adjusted by</w:t>
            </w:r>
            <w:r>
              <w:t xml:space="preserve"> </w:t>
            </w:r>
            <w:r>
              <w:rPr>
                <w:bCs/>
                <w:b/>
              </w:rPr>
              <w:t xml:space="preserve">lvtwfmdwwl</w:t>
            </w:r>
            <w:r>
              <w:t xml:space="preserve"> </w:t>
            </w:r>
            <w:r>
              <w:t xml:space="preserve">renewable usage)</w:t>
            </w:r>
          </w:p>
        </w:tc>
        <w:tc>
          <w:tcPr/>
          <w:p>
            <w:pPr>
              <w:pStyle w:val="Compact"/>
              <w:jc w:val="left"/>
            </w:pPr>
            <w:r>
              <w:t xml:space="preserve">0.85</w:t>
            </w:r>
          </w:p>
        </w:tc>
      </w:tr>
      <w:tr>
        <w:tc>
          <w:tcPr/>
          <w:p>
            <w:pPr>
              <w:pStyle w:val="Compact"/>
              <w:jc w:val="left"/>
            </w:pPr>
            <w:r>
              <w:t xml:space="preserve">Manufacturing (Other Scope 3 - Waste)</w:t>
            </w:r>
          </w:p>
        </w:tc>
        <w:tc>
          <w:tcPr/>
          <w:p>
            <w:pPr>
              <w:pStyle w:val="Compact"/>
              <w:jc w:val="left"/>
            </w:pPr>
            <w:r>
              <w:t xml:space="preserve">Scope 3 (Category 5: Waste generated in operations)</w:t>
            </w:r>
          </w:p>
        </w:tc>
        <w:tc>
          <w:tcPr/>
          <w:p>
            <w:pPr>
              <w:pStyle w:val="Compact"/>
              <w:jc w:val="left"/>
            </w:pPr>
            <w:r>
              <w:t xml:space="preserve">0.10</w:t>
            </w:r>
          </w:p>
        </w:tc>
      </w:tr>
      <w:tr>
        <w:tc>
          <w:tcPr/>
          <w:p>
            <w:pPr>
              <w:pStyle w:val="Compact"/>
              <w:jc w:val="left"/>
            </w:pPr>
            <w:r>
              <w:t xml:space="preserve">Upstream Transportation (</w:t>
            </w:r>
            <w:r>
              <w:rPr>
                <w:bCs/>
                <w:b/>
              </w:rPr>
              <w:t xml:space="preserve">Select Mode</w:t>
            </w:r>
            <w:r>
              <w:t xml:space="preserve">,</w:t>
            </w:r>
            <w:r>
              <w:t xml:space="preserve"> </w:t>
            </w:r>
            <w:r>
              <w:rPr>
                <w:bCs/>
                <w:b/>
              </w:rPr>
              <w:t xml:space="preserve">kluvelfzyx</w:t>
            </w:r>
            <w:r>
              <w:t xml:space="preserve">)</w:t>
            </w:r>
          </w:p>
        </w:tc>
        <w:tc>
          <w:tcPr/>
          <w:p>
            <w:pPr>
              <w:pStyle w:val="Compact"/>
              <w:jc w:val="left"/>
            </w:pPr>
            <w:r>
              <w:t xml:space="preserve">Scope 3 (Category 4: Upstream transportation &amp; distribution)</w:t>
            </w:r>
          </w:p>
        </w:tc>
        <w:tc>
          <w:tcPr/>
          <w:p>
            <w:pPr>
              <w:pStyle w:val="Compact"/>
              <w:jc w:val="left"/>
            </w:pPr>
            <w:r>
              <w:t xml:space="preserve">0.70</w:t>
            </w:r>
          </w:p>
        </w:tc>
      </w:tr>
      <w:tr>
        <w:tc>
          <w:tcPr/>
          <w:p>
            <w:pPr>
              <w:pStyle w:val="Compact"/>
              <w:jc w:val="left"/>
            </w:pPr>
            <w:r>
              <w:t xml:space="preserve">Use Phase (Product Lifespan:</w:t>
            </w:r>
            <w:r>
              <w:t xml:space="preserve"> </w:t>
            </w:r>
            <w:r>
              <w:rPr>
                <w:bCs/>
                <w:b/>
              </w:rPr>
              <w:t xml:space="preserve">dmtqdzlrvs</w:t>
            </w:r>
            <w:r>
              <w:t xml:space="preserve">, Energy in Use:</w:t>
            </w:r>
            <w:r>
              <w:t xml:space="preserve"> </w:t>
            </w:r>
            <w:r>
              <w:rPr>
                <w:bCs/>
                <w:b/>
              </w:rPr>
              <w:t xml:space="preserve">eztoedilzk</w:t>
            </w:r>
            <w:r>
              <w:t xml:space="preserve">)</w:t>
            </w:r>
          </w:p>
        </w:tc>
        <w:tc>
          <w:tcPr/>
          <w:p>
            <w:pPr>
              <w:pStyle w:val="Compact"/>
              <w:jc w:val="left"/>
            </w:pPr>
            <w:r>
              <w:t xml:space="preserve">Scope 3 (Category 11: Use of sold products)</w:t>
            </w:r>
          </w:p>
        </w:tc>
        <w:tc>
          <w:tcPr/>
          <w:p>
            <w:pPr>
              <w:pStyle w:val="Compact"/>
              <w:jc w:val="left"/>
            </w:pPr>
            <w:r>
              <w:t xml:space="preserve">1.50</w:t>
            </w:r>
          </w:p>
        </w:tc>
      </w:tr>
      <w:tr>
        <w:tc>
          <w:tcPr/>
          <w:p>
            <w:pPr>
              <w:pStyle w:val="Compact"/>
              <w:jc w:val="left"/>
            </w:pPr>
            <w:r>
              <w:t xml:space="preserve">End-of-Life (Recyclability:</w:t>
            </w:r>
            <w:r>
              <w:t xml:space="preserve"> </w:t>
            </w:r>
            <w:r>
              <w:rPr>
                <w:bCs/>
                <w:b/>
              </w:rPr>
              <w:t xml:space="preserve">sfpwqmhnpo</w:t>
            </w:r>
            <w:r>
              <w:t xml:space="preserve">, Circular Programs:</w:t>
            </w:r>
            <w:r>
              <w:t xml:space="preserve"> </w:t>
            </w:r>
            <w:r>
              <w:rPr>
                <w:bCs/>
                <w:b/>
              </w:rPr>
              <w:t xml:space="preserve">znxvpkopmh</w:t>
            </w:r>
            <w:r>
              <w:t xml:space="preserve">)</w:t>
            </w:r>
          </w:p>
        </w:tc>
        <w:tc>
          <w:tcPr/>
          <w:p>
            <w:pPr>
              <w:pStyle w:val="Compact"/>
              <w:jc w:val="left"/>
            </w:pPr>
            <w:r>
              <w:t xml:space="preserve">Scope 3 (Category 12: End-of-life treatment of sold products)</w:t>
            </w:r>
          </w:p>
        </w:tc>
        <w:tc>
          <w:tcPr/>
          <w:p>
            <w:pPr>
              <w:pStyle w:val="Compact"/>
              <w:jc w:val="left"/>
            </w:pPr>
            <w:r>
              <w:t xml:space="preserve">0.30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9.75 kg CO2e</w:t>
            </w:r>
          </w:p>
        </w:tc>
      </w:tr>
    </w:tbl>
    <w:bookmarkEnd w:id="28"/>
    <w:bookmarkStart w:id="29" w:name="ghg-protocol-scope-breakdown"/>
    <w:p>
      <w:pPr>
        <w:pStyle w:val="Heading3"/>
      </w:pPr>
      <w:r>
        <w:t xml:space="preserve">GHG Protocol Scope Breakdown</w:t>
      </w:r>
    </w:p>
    <w:p>
      <w:pPr>
        <w:numPr>
          <w:ilvl w:val="0"/>
          <w:numId w:val="1009"/>
        </w:numPr>
        <w:pStyle w:val="Compact"/>
      </w:pPr>
      <w:r>
        <w:rPr>
          <w:bCs/>
          <w:b/>
        </w:rPr>
        <w:t xml:space="preserve">Scope 1 Emissions:</w:t>
      </w:r>
      <w:r>
        <w:t xml:space="preserve"> </w:t>
      </w:r>
      <w:r>
        <w:t xml:space="preserve">Direct GHG emissions from sources owned or controlled by iiugyhnsqu. For midhfesosv, this primarily includes direct fuel combustion at the manufacturing facility (e.g., for heating or process energy). (Illustrative: 0.15 kg CO2e)</w:t>
      </w:r>
    </w:p>
    <w:p>
      <w:pPr>
        <w:numPr>
          <w:ilvl w:val="0"/>
          <w:numId w:val="1009"/>
        </w:numPr>
        <w:pStyle w:val="Compact"/>
      </w:pPr>
      <w:r>
        <w:rPr>
          <w:bCs/>
          <w:b/>
        </w:rPr>
        <w:t xml:space="preserve">Scope 2 Emissions:</w:t>
      </w:r>
      <w:r>
        <w:t xml:space="preserve"> </w:t>
      </w:r>
      <w:r>
        <w:t xml:space="preserve">Indirect GHG emissions from the generation of purchased electricity, heat, or steam consumed by iiugyhnsqu. The reported</w:t>
      </w:r>
      <w:r>
        <w:t xml:space="preserve"> </w:t>
      </w:r>
      <w:r>
        <w:rPr>
          <w:bCs/>
          <w:b/>
        </w:rPr>
        <w:t xml:space="preserve">lvtwfmdwwl</w:t>
      </w:r>
      <w:r>
        <w:t xml:space="preserve"> </w:t>
      </w:r>
      <w:r>
        <w:t xml:space="preserve">renewable energy usage significantly mitigates these emissions, reducing the overall carbon intensity of purchased energy. (Illustrative: 0.85 kg CO2e)</w:t>
      </w:r>
    </w:p>
    <w:p>
      <w:pPr>
        <w:numPr>
          <w:ilvl w:val="0"/>
          <w:numId w:val="1009"/>
        </w:numPr>
      </w:pPr>
      <w:r>
        <w:rPr>
          <w:bCs/>
          <w:b/>
        </w:rPr>
        <w:t xml:space="preserve">Scope 3 Emissions:</w:t>
      </w:r>
      <w:r>
        <w:t xml:space="preserve"> </w:t>
      </w:r>
      <w:r>
        <w:t xml:space="preserve">All other indirect emissions that occur in a company’s value chain. This analysis prioritizes achieving at least 95% coverage as per 2026 requirements. Key Scope 3 categories addressed include:</w:t>
      </w:r>
    </w:p>
    <w:p>
      <w:pPr>
        <w:numPr>
          <w:ilvl w:val="1"/>
          <w:numId w:val="1010"/>
        </w:numPr>
        <w:pStyle w:val="Compact"/>
      </w:pPr>
      <w:r>
        <w:rPr>
          <w:bCs/>
          <w:b/>
        </w:rPr>
        <w:t xml:space="preserve">Category 1: Purchased Goods and Services:</w:t>
      </w:r>
      <w:r>
        <w:t xml:space="preserve"> </w:t>
      </w:r>
      <w:r>
        <w:t xml:space="preserve">Emissions from raw material extraction, production, and transport based on the detailed BOM</w:t>
      </w:r>
      <w:r>
        <w:t xml:space="preserve"> </w:t>
      </w:r>
      <w:r>
        <w:rPr>
          <w:bCs/>
          <w:b/>
        </w:rPr>
        <w:t xml:space="preserve">psdsvlgw</w:t>
      </w:r>
      <w:r>
        <w:t xml:space="preserve">.</w:t>
      </w:r>
    </w:p>
    <w:p>
      <w:pPr>
        <w:numPr>
          <w:ilvl w:val="1"/>
          <w:numId w:val="1010"/>
        </w:numPr>
        <w:pStyle w:val="Compact"/>
      </w:pPr>
      <w:r>
        <w:rPr>
          <w:bCs/>
          <w:b/>
        </w:rPr>
        <w:t xml:space="preserve">Category 4: Upstream Transportation and Distribution:</w:t>
      </w:r>
      <w:r>
        <w:t xml:space="preserve"> </w:t>
      </w:r>
      <w:r>
        <w:t xml:space="preserve">Emissions from transportation of materials and components to the factory, considering</w:t>
      </w:r>
      <w:r>
        <w:t xml:space="preserve"> </w:t>
      </w:r>
      <w:r>
        <w:rPr>
          <w:bCs/>
          <w:b/>
        </w:rPr>
        <w:t xml:space="preserve">Select Mode</w:t>
      </w:r>
      <w:r>
        <w:t xml:space="preserve"> </w:t>
      </w:r>
      <w:r>
        <w:t xml:space="preserve">and</w:t>
      </w:r>
      <w:r>
        <w:t xml:space="preserve"> </w:t>
      </w:r>
      <w:r>
        <w:rPr>
          <w:bCs/>
          <w:b/>
        </w:rPr>
        <w:t xml:space="preserve">kluvelfzyx</w:t>
      </w:r>
      <w:r>
        <w:t xml:space="preserve">.</w:t>
      </w:r>
    </w:p>
    <w:p>
      <w:pPr>
        <w:numPr>
          <w:ilvl w:val="1"/>
          <w:numId w:val="1010"/>
        </w:numPr>
        <w:pStyle w:val="Compact"/>
      </w:pPr>
      <w:r>
        <w:rPr>
          <w:bCs/>
          <w:b/>
        </w:rPr>
        <w:t xml:space="preserve">Category 5: Waste Generated in Operations:</w:t>
      </w:r>
      <w:r>
        <w:t xml:space="preserve"> </w:t>
      </w:r>
      <w:r>
        <w:t xml:space="preserve">Emissions from waste disposal generated during the manufacturing process.</w:t>
      </w:r>
    </w:p>
    <w:p>
      <w:pPr>
        <w:numPr>
          <w:ilvl w:val="1"/>
          <w:numId w:val="1010"/>
        </w:numPr>
        <w:pStyle w:val="Compact"/>
      </w:pPr>
      <w:r>
        <w:rPr>
          <w:bCs/>
          <w:b/>
        </w:rPr>
        <w:t xml:space="preserve">Category 11: Use of Sold Products:</w:t>
      </w:r>
      <w:r>
        <w:t xml:space="preserve"> </w:t>
      </w:r>
      <w:r>
        <w:t xml:space="preserve">Emissions from the product\'s energy consumption during its estimated lifespan of</w:t>
      </w:r>
      <w:r>
        <w:t xml:space="preserve"> </w:t>
      </w:r>
      <w:r>
        <w:rPr>
          <w:bCs/>
          <w:b/>
        </w:rPr>
        <w:t xml:space="preserve">dmtqdzlrvs</w:t>
      </w:r>
      <w:r>
        <w:t xml:space="preserve">, based on the energy consumption in use of</w:t>
      </w:r>
      <w:r>
        <w:t xml:space="preserve"> </w:t>
      </w:r>
      <w:r>
        <w:rPr>
          <w:bCs/>
          <w:b/>
        </w:rPr>
        <w:t xml:space="preserve">eztoedilzk</w:t>
      </w:r>
      <w:r>
        <w:t xml:space="preserve">.</w:t>
      </w:r>
    </w:p>
    <w:p>
      <w:pPr>
        <w:numPr>
          <w:ilvl w:val="1"/>
          <w:numId w:val="1010"/>
        </w:numPr>
        <w:pStyle w:val="Compact"/>
      </w:pPr>
      <w:r>
        <w:rPr>
          <w:bCs/>
          <w:b/>
        </w:rPr>
        <w:t xml:space="preserve">Category 12: End-of-Life Treatment of Sold Products:</w:t>
      </w:r>
      <w:r>
        <w:t xml:space="preserve"> </w:t>
      </w:r>
      <w:r>
        <w:t xml:space="preserve">Emissions associated with disposal, recycling, and recovery processes, influenced by the recyclability percentage of</w:t>
      </w:r>
      <w:r>
        <w:t xml:space="preserve"> </w:t>
      </w:r>
      <w:r>
        <w:rPr>
          <w:bCs/>
          <w:b/>
        </w:rPr>
        <w:t xml:space="preserve">sfpwqmhnpo</w:t>
      </w:r>
      <w:r>
        <w:t xml:space="preserve"> </w:t>
      </w:r>
      <w:r>
        <w:t xml:space="preserve">and the existence of</w:t>
      </w:r>
      <w:r>
        <w:t xml:space="preserve"> </w:t>
      </w:r>
      <w:r>
        <w:rPr>
          <w:bCs/>
          <w:b/>
        </w:rPr>
        <w:t xml:space="preserve">znxvpkopmh</w:t>
      </w:r>
      <w:r>
        <w:t xml:space="preserve"> </w:t>
      </w:r>
      <w:r>
        <w:t xml:space="preserve">circular/take-back programs.</w:t>
      </w:r>
    </w:p>
    <w:p>
      <w:pPr>
        <w:numPr>
          <w:ilvl w:val="0"/>
          <w:numId w:val="1000"/>
        </w:numPr>
      </w:pPr>
      <w:r>
        <w:t xml:space="preserve">Total Illustrative Scope 3 Emissions: 8.75 kg CO2e</w:t>
      </w:r>
    </w:p>
    <w:bookmarkEnd w:id="29"/>
    <w:bookmarkStart w:id="30" w:name="lsr-update-application"/>
    <w:p>
      <w:pPr>
        <w:pStyle w:val="Heading3"/>
      </w:pPr>
      <w:r>
        <w:t xml:space="preserve">2026 LSR Update Application</w:t>
      </w:r>
    </w:p>
    <w:p>
      <w:pPr>
        <w:pStyle w:val="FirstParagraph"/>
      </w:pPr>
      <w:r>
        <w:t xml:space="preserve">The Land Sector and Removals (LSR) Standard is applied to account for emissions and removals associated with land use and land use change. For midhfesosv, this primarily considers:</w:t>
      </w:r>
    </w:p>
    <w:p>
      <w:pPr>
        <w:numPr>
          <w:ilvl w:val="0"/>
          <w:numId w:val="1011"/>
        </w:numPr>
        <w:pStyle w:val="Compact"/>
      </w:pPr>
      <w:r>
        <w:t xml:space="preserve">Any bio-based raw materials, if applicable, originating from forestry or agriculture, and their associated land use change emissions or removals.</w:t>
      </w:r>
    </w:p>
    <w:p>
      <w:pPr>
        <w:numPr>
          <w:ilvl w:val="0"/>
          <w:numId w:val="1011"/>
        </w:numPr>
        <w:pStyle w:val="Compact"/>
      </w:pPr>
      <w:r>
        <w:t xml:space="preserve">Carbon sequestration potential in any components or during specific processes, where relevant and quantifiable.</w:t>
      </w:r>
    </w:p>
    <w:p>
      <w:pPr>
        <w:pStyle w:val="FirstParagraph"/>
      </w:pPr>
      <w:r>
        <w:t xml:space="preserve">Given the general nature of the provided BOM categories (e.g., metals, plastics, electronics), the direct quantification of LSR impacts is embedded within the generic emission factors used for these materials. A more granular application of the LSR Standard would require specific data on the land-use history and management practices for any agriculturally or forestry-derived components within</w:t>
      </w:r>
      <w:r>
        <w:t xml:space="preserve"> </w:t>
      </w:r>
      <w:r>
        <w:rPr>
          <w:bCs/>
          <w:b/>
        </w:rPr>
        <w:t xml:space="preserve">psdsvlgw</w:t>
      </w:r>
      <w:r>
        <w:t xml:space="preserve">.</w:t>
      </w:r>
    </w:p>
    <w:p>
      <w:r>
        <w:pict>
          <v:rect style="width:0;height:1.5pt" o:hralign="center" o:hrstd="t" o:hr="t"/>
        </w:pict>
      </w:r>
    </w:p>
    <w:bookmarkEnd w:id="30"/>
    <w:bookmarkEnd w:id="31"/>
    <w:bookmarkStart w:id="35" w:name="review-report"/>
    <w:p>
      <w:pPr>
        <w:pStyle w:val="Heading2"/>
      </w:pPr>
      <w:r>
        <w:t xml:space="preserve">5. Review &amp; Report</w:t>
      </w:r>
    </w:p>
    <w:p>
      <w:pPr>
        <w:pStyle w:val="FirstParagraph"/>
      </w:pPr>
      <w:r>
        <w:t xml:space="preserve">The final stage involves reviewing the calculations, identifying key emission hotspots, and assessing the reliability of the results.</w:t>
      </w:r>
    </w:p>
    <w:bookmarkStart w:id="32" w:name="emission-hotspots"/>
    <w:p>
      <w:pPr>
        <w:pStyle w:val="Heading3"/>
      </w:pPr>
      <w:r>
        <w:t xml:space="preserve">Emission Hotspots</w:t>
      </w:r>
    </w:p>
    <w:p>
      <w:pPr>
        <w:pStyle w:val="FirstParagraph"/>
      </w:pPr>
      <w:r>
        <w:t xml:space="preserve">Based on the illustrative analysis, primary hotspots for midhfesosv are identified as:</w:t>
      </w:r>
    </w:p>
    <w:p>
      <w:pPr>
        <w:numPr>
          <w:ilvl w:val="0"/>
          <w:numId w:val="1012"/>
        </w:numPr>
        <w:pStyle w:val="Compact"/>
      </w:pPr>
      <w:r>
        <w:rPr>
          <w:bCs/>
          <w:b/>
        </w:rPr>
        <w:t xml:space="preserve">Raw Material Acquisition (Scope 3, Category 1):</w:t>
      </w:r>
      <w:r>
        <w:t xml:space="preserve"> </w:t>
      </w:r>
      <w:r>
        <w:t xml:space="preserve">This is typically the largest contributor for manufactured goods, especially with materials like aluminum, specific plastics, and electronics components, as evidenced by the illustrative BOM</w:t>
      </w:r>
      <w:r>
        <w:t xml:space="preserve"> </w:t>
      </w:r>
      <w:r>
        <w:rPr>
          <w:bCs/>
          <w:b/>
        </w:rPr>
        <w:t xml:space="preserve">psdsvlgw</w:t>
      </w:r>
      <w:r>
        <w:t xml:space="preserve"> </w:t>
      </w:r>
      <w:r>
        <w:t xml:space="preserve">contribution.</w:t>
      </w:r>
    </w:p>
    <w:p>
      <w:pPr>
        <w:numPr>
          <w:ilvl w:val="0"/>
          <w:numId w:val="1012"/>
        </w:numPr>
        <w:pStyle w:val="Compact"/>
      </w:pPr>
      <w:r>
        <w:rPr>
          <w:bCs/>
          <w:b/>
        </w:rPr>
        <w:t xml:space="preserve">Use Phase (Scope 3, Category 11):</w:t>
      </w:r>
      <w:r>
        <w:t xml:space="preserve"> </w:t>
      </w:r>
      <w:r>
        <w:t xml:space="preserve">Products with high energy consumption during their lifespan, as indicated by</w:t>
      </w:r>
      <w:r>
        <w:t xml:space="preserve"> </w:t>
      </w:r>
      <w:r>
        <w:rPr>
          <w:bCs/>
          <w:b/>
        </w:rPr>
        <w:t xml:space="preserve">eztoedilzk</w:t>
      </w:r>
      <w:r>
        <w:t xml:space="preserve"> </w:t>
      </w:r>
      <w:r>
        <w:t xml:space="preserve">and the lifespan of</w:t>
      </w:r>
      <w:r>
        <w:t xml:space="preserve"> </w:t>
      </w:r>
      <w:r>
        <w:rPr>
          <w:bCs/>
          <w:b/>
        </w:rPr>
        <w:t xml:space="preserve">dmtqdzlrvs</w:t>
      </w:r>
      <w:r>
        <w:t xml:space="preserve">, often represent a significant portion of the total footprint.</w:t>
      </w:r>
    </w:p>
    <w:p>
      <w:pPr>
        <w:numPr>
          <w:ilvl w:val="0"/>
          <w:numId w:val="1012"/>
        </w:numPr>
        <w:pStyle w:val="Compact"/>
      </w:pPr>
      <w:r>
        <w:rPr>
          <w:bCs/>
          <w:b/>
        </w:rPr>
        <w:t xml:space="preserve">Manufacturing Energy (Scope 2):</w:t>
      </w:r>
      <w:r>
        <w:t xml:space="preserve"> </w:t>
      </w:r>
      <w:r>
        <w:t xml:space="preserve">While partially mitigated by</w:t>
      </w:r>
      <w:r>
        <w:t xml:space="preserve"> </w:t>
      </w:r>
      <w:r>
        <w:rPr>
          <w:bCs/>
          <w:b/>
        </w:rPr>
        <w:t xml:space="preserve">lvtwfmdwwl</w:t>
      </w:r>
      <w:r>
        <w:t xml:space="preserve"> </w:t>
      </w:r>
      <w:r>
        <w:t xml:space="preserve">renewable usage, the energy intensity of</w:t>
      </w:r>
      <w:r>
        <w:t xml:space="preserve"> </w:t>
      </w:r>
      <w:r>
        <w:rPr>
          <w:bCs/>
          <w:b/>
        </w:rPr>
        <w:t xml:space="preserve">iqhikkgjgt</w:t>
      </w:r>
      <w:r>
        <w:t xml:space="preserve"> </w:t>
      </w:r>
      <w:r>
        <w:t xml:space="preserve">still contributes notably to the overall footprint.</w:t>
      </w:r>
    </w:p>
    <w:bookmarkEnd w:id="32"/>
    <w:bookmarkStart w:id="33" w:name="reliability-and-limitations"/>
    <w:p>
      <w:pPr>
        <w:pStyle w:val="Heading3"/>
      </w:pPr>
      <w:r>
        <w:t xml:space="preserve">Reliability and Limitations</w:t>
      </w:r>
    </w:p>
    <w:p>
      <w:pPr>
        <w:pStyle w:val="FirstParagraph"/>
      </w:pPr>
      <w:r>
        <w:t xml:space="preserve">The reliability of this PCF analysis is highly dependent on the quality and specificity of the input data. Key considerations include:</w:t>
      </w:r>
    </w:p>
    <w:p>
      <w:pPr>
        <w:numPr>
          <w:ilvl w:val="0"/>
          <w:numId w:val="1013"/>
        </w:numPr>
        <w:pStyle w:val="Compact"/>
      </w:pPr>
      <w:r>
        <w:t xml:space="preserve">The use of industry-average emission factors for certain processes where primary data was unavailable or where placeholder parameters were used for illustration.</w:t>
      </w:r>
    </w:p>
    <w:p>
      <w:pPr>
        <w:numPr>
          <w:ilvl w:val="0"/>
          <w:numId w:val="1013"/>
        </w:numPr>
        <w:pStyle w:val="Compact"/>
      </w:pPr>
      <w:r>
        <w:t xml:space="preserve">The accuracy of the provided parameters (e.g.,</w:t>
      </w:r>
      <w:r>
        <w:t xml:space="preserve"> </w:t>
      </w:r>
      <w:r>
        <w:rPr>
          <w:bCs/>
          <w:b/>
        </w:rPr>
        <w:t xml:space="preserve">kluvelfzyx</w:t>
      </w:r>
      <w:r>
        <w:t xml:space="preserve">,</w:t>
      </w:r>
      <w:r>
        <w:t xml:space="preserve"> </w:t>
      </w:r>
      <w:r>
        <w:rPr>
          <w:bCs/>
          <w:b/>
        </w:rPr>
        <w:t xml:space="preserve">iqhikkgjgt</w:t>
      </w:r>
      <w:r>
        <w:t xml:space="preserve">,</w:t>
      </w:r>
      <w:r>
        <w:t xml:space="preserve"> </w:t>
      </w:r>
      <w:r>
        <w:rPr>
          <w:bCs/>
          <w:b/>
        </w:rPr>
        <w:t xml:space="preserve">eztoedilzk</w:t>
      </w:r>
      <w:r>
        <w:t xml:space="preserve">,</w:t>
      </w:r>
      <w:r>
        <w:t xml:space="preserve"> </w:t>
      </w:r>
      <w:r>
        <w:rPr>
          <w:bCs/>
          <w:b/>
        </w:rPr>
        <w:t xml:space="preserve">sfpwqmhnpo</w:t>
      </w:r>
      <w:r>
        <w:t xml:space="preserve">,</w:t>
      </w:r>
      <w:r>
        <w:t xml:space="preserve"> </w:t>
      </w:r>
      <w:r>
        <w:rPr>
          <w:bCs/>
          <w:b/>
        </w:rPr>
        <w:t xml:space="preserve">dmtqdzlrvs</w:t>
      </w:r>
      <w:r>
        <w:t xml:space="preserve">,</w:t>
      </w:r>
      <w:r>
        <w:t xml:space="preserve"> </w:t>
      </w:r>
      <w:r>
        <w:rPr>
          <w:bCs/>
          <w:b/>
        </w:rPr>
        <w:t xml:space="preserve">lvtwfmdwwl</w:t>
      </w:r>
      <w:r>
        <w:t xml:space="preserve">,</w:t>
      </w:r>
      <w:r>
        <w:t xml:space="preserve"> </w:t>
      </w:r>
      <w:r>
        <w:rPr>
          <w:bCs/>
          <w:b/>
        </w:rPr>
        <w:t xml:space="preserve">znxvpkopmh</w:t>
      </w:r>
      <w:r>
        <w:t xml:space="preserve">) directly impacts the precision of the calculated footprint.</w:t>
      </w:r>
    </w:p>
    <w:p>
      <w:pPr>
        <w:numPr>
          <w:ilvl w:val="0"/>
          <w:numId w:val="1013"/>
        </w:numPr>
        <w:pStyle w:val="Compact"/>
      </w:pPr>
      <w:r>
        <w:t xml:space="preserve">The system boundary "factory_gate" limits direct control over upstream and downstream emissions, making Scope 3 reliance on secondary data more pronounced. However, the commitment to 95% Scope 3 coverage enhances the comprehensiveness.</w:t>
      </w:r>
    </w:p>
    <w:p>
      <w:pPr>
        <w:numPr>
          <w:ilvl w:val="0"/>
          <w:numId w:val="1013"/>
        </w:numPr>
        <w:pStyle w:val="Compact"/>
      </w:pPr>
      <w:r>
        <w:t xml:space="preserve">Further refinement would benefit from more granular, primary data specific to each supplier and process.</w:t>
      </w:r>
    </w:p>
    <w:bookmarkEnd w:id="33"/>
    <w:bookmarkStart w:id="34" w:name="recommendations-for-emission-reduction"/>
    <w:p>
      <w:pPr>
        <w:pStyle w:val="Heading3"/>
      </w:pPr>
      <w:r>
        <w:t xml:space="preserve">Recommendations for Emission Reduction</w:t>
      </w:r>
    </w:p>
    <w:p>
      <w:pPr>
        <w:numPr>
          <w:ilvl w:val="0"/>
          <w:numId w:val="1014"/>
        </w:numPr>
        <w:pStyle w:val="Compact"/>
      </w:pPr>
      <w:r>
        <w:rPr>
          <w:bCs/>
          <w:b/>
        </w:rPr>
        <w:t xml:space="preserve">Material Optimization:</w:t>
      </w:r>
      <w:r>
        <w:t xml:space="preserve"> </w:t>
      </w:r>
      <w:r>
        <w:t xml:space="preserve">Explore alternative, lower-carbon materials or reduce material usage per unit, focusing on high-impact components identified in</w:t>
      </w:r>
      <w:r>
        <w:t xml:space="preserve"> </w:t>
      </w:r>
      <w:r>
        <w:rPr>
          <w:bCs/>
          <w:b/>
        </w:rPr>
        <w:t xml:space="preserve">psdsvlgw</w:t>
      </w:r>
      <w:r>
        <w:t xml:space="preserve">.</w:t>
      </w:r>
    </w:p>
    <w:p>
      <w:pPr>
        <w:numPr>
          <w:ilvl w:val="0"/>
          <w:numId w:val="1014"/>
        </w:numPr>
        <w:pStyle w:val="Compact"/>
      </w:pPr>
      <w:r>
        <w:rPr>
          <w:bCs/>
          <w:b/>
        </w:rPr>
        <w:t xml:space="preserve">Energy Efficiency in Manufacturing:</w:t>
      </w:r>
      <w:r>
        <w:t xml:space="preserve"> </w:t>
      </w:r>
      <w:r>
        <w:t xml:space="preserve">Implement further energy efficiency measures at the production facility beyond current practices, and increase reliance on renewable energy sources beyond</w:t>
      </w:r>
      <w:r>
        <w:t xml:space="preserve"> </w:t>
      </w:r>
      <w:r>
        <w:rPr>
          <w:bCs/>
          <w:b/>
        </w:rPr>
        <w:t xml:space="preserve">lvtwfmdwwl</w:t>
      </w:r>
      <w:r>
        <w:t xml:space="preserve">.</w:t>
      </w:r>
    </w:p>
    <w:p>
      <w:pPr>
        <w:numPr>
          <w:ilvl w:val="0"/>
          <w:numId w:val="1014"/>
        </w:numPr>
        <w:pStyle w:val="Compact"/>
      </w:pPr>
      <w:r>
        <w:rPr>
          <w:bCs/>
          <w:b/>
        </w:rPr>
        <w:t xml:space="preserve">Supply Chain Engagement:</w:t>
      </w:r>
      <w:r>
        <w:t xml:space="preserve"> </w:t>
      </w:r>
      <w:r>
        <w:t xml:space="preserve">Collaborate with suppliers to reduce their emissions, especially for high-impact raw materials.</w:t>
      </w:r>
    </w:p>
    <w:p>
      <w:pPr>
        <w:numPr>
          <w:ilvl w:val="0"/>
          <w:numId w:val="1014"/>
        </w:numPr>
        <w:pStyle w:val="Compact"/>
      </w:pPr>
      <w:r>
        <w:rPr>
          <w:bCs/>
          <w:b/>
        </w:rPr>
        <w:t xml:space="preserve">Product Design for Use Phase:</w:t>
      </w:r>
      <w:r>
        <w:t xml:space="preserve"> </w:t>
      </w:r>
      <w:r>
        <w:t xml:space="preserve">Optimize product design to reduce energy consumption during the use phase (improving upon</w:t>
      </w:r>
      <w:r>
        <w:t xml:space="preserve"> </w:t>
      </w:r>
      <w:r>
        <w:rPr>
          <w:bCs/>
          <w:b/>
        </w:rPr>
        <w:t xml:space="preserve">eztoedilzk</w:t>
      </w:r>
      <w:r>
        <w:t xml:space="preserve">) and extend product lifespan (beyond</w:t>
      </w:r>
      <w:r>
        <w:t xml:space="preserve"> </w:t>
      </w:r>
      <w:r>
        <w:rPr>
          <w:bCs/>
          <w:b/>
        </w:rPr>
        <w:t xml:space="preserve">dmtqdzlrvs</w:t>
      </w:r>
      <w:r>
        <w:t xml:space="preserve">).</w:t>
      </w:r>
    </w:p>
    <w:p>
      <w:pPr>
        <w:numPr>
          <w:ilvl w:val="0"/>
          <w:numId w:val="1014"/>
        </w:numPr>
        <w:pStyle w:val="Compact"/>
      </w:pPr>
      <w:r>
        <w:rPr>
          <w:bCs/>
          <w:b/>
        </w:rPr>
        <w:t xml:space="preserve">Circular Economy Strategies:</w:t>
      </w:r>
      <w:r>
        <w:t xml:space="preserve"> </w:t>
      </w:r>
      <w:r>
        <w:t xml:space="preserve">Enhance end-of-life options by increasing recyclability (beyond</w:t>
      </w:r>
      <w:r>
        <w:t xml:space="preserve"> </w:t>
      </w:r>
      <w:r>
        <w:rPr>
          <w:bCs/>
          <w:b/>
        </w:rPr>
        <w:t xml:space="preserve">sfpwqmhnpo</w:t>
      </w:r>
      <w:r>
        <w:t xml:space="preserve">) and expanding circular/take-back programs (beyond</w:t>
      </w:r>
      <w:r>
        <w:t xml:space="preserve"> </w:t>
      </w:r>
      <w:r>
        <w:rPr>
          <w:bCs/>
          <w:b/>
        </w:rPr>
        <w:t xml:space="preserve">znxvpkopmh</w:t>
      </w:r>
      <w:r>
        <w:t xml:space="preserve">).</w:t>
      </w:r>
    </w:p>
    <w:p>
      <w:r>
        <w:pict>
          <v:rect style="width:0;height:1.5pt" o:hralign="center" o:hrstd="t" o:hr="t"/>
        </w:pict>
      </w:r>
    </w:p>
    <w:p>
      <w:pPr>
        <w:pStyle w:val="FirstParagraph"/>
      </w:pPr>
      <w:r>
        <w:t xml:space="preserve">Confidential - Internal Use Only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midhfesosv</dc:title>
  <dc:creator/>
  <dc:description>Detailed Product Carbon Footprint (PCF) analysis report for midhfesosv, prepared by lvtpeojjzd, Senior Sustainability Consultant for iiugyhnsqu, adhering to GHG Protocol and 2026 LSR Update requirements.</dc:description>
  <cp:keywords/>
  <dcterms:created xsi:type="dcterms:W3CDTF">2026-05-30T10:34:54Z</dcterms:created>
  <dcterms:modified xsi:type="dcterms:W3CDTF">2026-05-30T10:34:54Z</dcterms:modified>
</cp:coreProperties>
</file>

<file path=docProps/custom.xml><?xml version="1.0" encoding="utf-8"?>
<Properties xmlns="http://schemas.openxmlformats.org/officeDocument/2006/custom-properties" xmlns:vt="http://schemas.openxmlformats.org/officeDocument/2006/docPropsVTypes"/>
</file>