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mhudlnxefn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mhudlnxefn</w:t>
      </w:r>
    </w:p>
    <w:p>
      <w:pPr>
        <w:pStyle w:val="BodyText"/>
      </w:pPr>
      <w:r>
        <w:rPr>
          <w:bCs/>
          <w:b/>
        </w:rPr>
        <w:t xml:space="preserve">Company:</w:t>
      </w:r>
      <w:r>
        <w:t xml:space="preserve"> </w:t>
      </w:r>
      <w:r>
        <w:t xml:space="preserve">ukspphmypx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egyipriiod</w:t>
      </w:r>
    </w:p>
    <w:p>
      <w:pPr>
        <w:pStyle w:val="BodyText"/>
      </w:pPr>
      <w:r>
        <w:t xml:space="preserve">This report is generated based on available data, industry standards, and specific parameters provided. Where explicit data for calculation was not provided, reasonable industry-average assumptions have been applied and noted for demonstration purposes.</w:t>
      </w:r>
    </w:p>
    <w:bookmarkEnd w:id="20"/>
    <w:bookmarkStart w:id="21" w:name="X63bc0dcf90da0fe13c6d04878627cabb16e5334"/>
    <w:p>
      <w:pPr>
        <w:pStyle w:val="Heading1"/>
      </w:pPr>
      <w:r>
        <w:t xml:space="preserve">Product Carbon Footprint Analysis Report: mhudlnxefn</w:t>
      </w:r>
    </w:p>
    <w:p>
      <w:pPr>
        <w:pStyle w:val="FirstParagraph"/>
      </w:pPr>
      <w:r>
        <w:rPr>
          <w:bCs/>
          <w:b/>
        </w:rPr>
        <w:t xml:space="preserve">Generated Date:</w:t>
      </w:r>
      <w:r>
        <w:t xml:space="preserve"> </w:t>
      </w:r>
      <w:r>
        <w:t xml:space="preserve">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mhudlnxefn, manufactured by ukspphmypx. The analysis adheres strictly to the GHG Protocol standards, incorporating proposed 2026 updates for the Land Sector and Removals (LSR) Standard and enhanced Scope 3 reporting requirements. The total cradle-to-grave carbon footprint for one functional unit of mhudlnxefn is calculated to be approximately 17.17 kgCO2e. The primary hotspots identified are the use phase, followed by material acquisition and manufacturing. Recommendations for emission reduction are provided based on these findings.</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This section outlines the foundational parameters guiding the PCF analysis for mhudlnxefn.</w:t>
      </w:r>
    </w:p>
    <w:p>
      <w:pPr>
        <w:numPr>
          <w:ilvl w:val="0"/>
          <w:numId w:val="1001"/>
        </w:numPr>
        <w:pStyle w:val="Compact"/>
      </w:pPr>
      <w:r>
        <w:rPr>
          <w:bCs/>
          <w:b/>
        </w:rPr>
        <w:t xml:space="preserve">Functional Unit:</w:t>
      </w:r>
      <w:r>
        <w:t xml:space="preserve"> </w:t>
      </w:r>
      <w:r>
        <w:t xml:space="preserve">1.0 unit of mhudlnxefn.</w:t>
      </w:r>
    </w:p>
    <w:p>
      <w:pPr>
        <w:numPr>
          <w:ilvl w:val="0"/>
          <w:numId w:val="1001"/>
        </w:numPr>
        <w:pStyle w:val="Compact"/>
      </w:pPr>
      <w:r>
        <w:rPr>
          <w:bCs/>
          <w:b/>
        </w:rPr>
        <w:t xml:space="preserve">System Boundary:</w:t>
      </w:r>
      <w:r>
        <w:t xml:space="preserve"> </w:t>
      </w:r>
      <w:r>
        <w:t xml:space="preserve">Cradle-to-grave, specifically "factory_gate" for the manufacturing emissions, with upstream material and transport, use phase, and end-of-life considered for a comprehensive value chain assessment.</w:t>
      </w:r>
    </w:p>
    <w:p>
      <w:pPr>
        <w:numPr>
          <w:ilvl w:val="0"/>
          <w:numId w:val="1001"/>
        </w:numPr>
        <w:pStyle w:val="Compact"/>
      </w:pPr>
      <w:r>
        <w:rPr>
          <w:bCs/>
          <w:b/>
        </w:rPr>
        <w:t xml:space="preserve">Geographic Scope:</w:t>
      </w:r>
      <w:r>
        <w:t xml:space="preserve"> </w:t>
      </w:r>
      <w:r>
        <w:t xml:space="preserve">Final Production Country: China. Supply Chain Focus: Europe Focused (for downstream elements like use phase and EoL).</w:t>
      </w:r>
    </w:p>
    <w:p>
      <w:pPr>
        <w:numPr>
          <w:ilvl w:val="0"/>
          <w:numId w:val="1001"/>
        </w:numPr>
        <w:pStyle w:val="Compact"/>
      </w:pPr>
      <w:r>
        <w:rPr>
          <w:bCs/>
          <w:b/>
        </w:rPr>
        <w:t xml:space="preserve">Accounting Standard:</w:t>
      </w:r>
      <w:r>
        <w:t xml:space="preserve"> </w:t>
      </w:r>
      <w:r>
        <w:t xml:space="preserve">GHG Protocol (Corporate Value Chain (Scope 3) Accounting and Reporting Standard), with consideration for the 2026 Land Sector and Removals (LSR) Standard and proposed Scope 3 revisions.</w:t>
      </w:r>
    </w:p>
    <w:p>
      <w:pPr>
        <w:numPr>
          <w:ilvl w:val="0"/>
          <w:numId w:val="1001"/>
        </w:numPr>
        <w:pStyle w:val="Compact"/>
      </w:pPr>
      <w:r>
        <w:rPr>
          <w:bCs/>
          <w:b/>
        </w:rPr>
        <w:t xml:space="preserve">Allocation:</w:t>
      </w:r>
      <w:r>
        <w:t xml:space="preserve"> </w:t>
      </w:r>
      <w:r>
        <w:t xml:space="preserve">Emissions are directly attributed to the functional unit. No co-product or waste allocation methods are required for this single-product analysis.</w:t>
      </w:r>
    </w:p>
    <w:bookmarkEnd w:id="23"/>
    <w:p>
      <w:r>
        <w:pict>
          <v:rect style="width:0;height:1.5pt" o:hralign="center" o:hrstd="t" o:hr="t"/>
        </w:pict>
      </w:r>
    </w:p>
    <w:bookmarkStart w:id="30" w:name="X07cf0ea829f60a4f8fa47c00f72a11793fbe483"/>
    <w:p>
      <w:pPr>
        <w:pStyle w:val="Heading2"/>
      </w:pPr>
      <w:r>
        <w:t xml:space="preserve">2. Lifecycle Mapping (LCI Inventory Stages) &amp; 3. Data Collection</w:t>
      </w:r>
    </w:p>
    <w:p>
      <w:pPr>
        <w:pStyle w:val="FirstParagraph"/>
      </w:pPr>
      <w:r>
        <w:t xml:space="preserve">The lifecycle of mhudlnxefn is mapped across key stages, and relevant primary and secondary data points have been collected or, where unavailable, reasonably assumed based on industry averages. The analysis categorizes emissions into GHG Protocol Scope 1, Scope 2, and Scope 3.</w:t>
      </w:r>
    </w:p>
    <w:bookmarkStart w:id="24" w:name="Xfeefe6bbf266335a50846606fd679c938a278e5"/>
    <w:p>
      <w:pPr>
        <w:pStyle w:val="Heading3"/>
      </w:pPr>
      <w:r>
        <w:t xml:space="preserve">2.1. Materials Acquisition &amp; Pre-processing (Scope 3, Category 1: Purchased Goods &amp; Services)</w:t>
      </w:r>
    </w:p>
    <w:p>
      <w:pPr>
        <w:pStyle w:val="FirstParagraph"/>
      </w:pPr>
      <w:r>
        <w:t xml:space="preserve">The Detailed Bill of Materials (BOM) for mhudlnxefn, specified as \'fdnhfqil\', has been used to calculate the material-related emissions. Since \'fdnhfqil\' was provided as a placeholder string, the following example BOM data conforming to the specified format (ID, Description, Category, Process, Qty, Unit, Emission Factor, Total Carbon) is used to demonstrate the calculation for high-accuracy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E001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7.6 kgCO2e</w:t>
            </w:r>
          </w:p>
        </w:tc>
      </w:tr>
    </w:tbl>
    <w:bookmarkEnd w:id="24"/>
    <w:bookmarkStart w:id="25" w:name="X330d4fdecd3793528f0711adbcd1b10fb00cedd"/>
    <w:p>
      <w:pPr>
        <w:pStyle w:val="Heading3"/>
      </w:pPr>
      <w:r>
        <w:t xml:space="preserve">2.2. Manufacturing (Scope 1: Direct Emissions, Scope 2: Purchased Electricity)</w:t>
      </w:r>
    </w:p>
    <w:p>
      <w:pPr>
        <w:pStyle w:val="FirstParagraph"/>
      </w:pPr>
      <w:r>
        <w:t xml:space="preserve">The production phase for mhudlnxefn occurs in China. Emissions related to purchased electricity are assessed.</w:t>
      </w:r>
    </w:p>
    <w:p>
      <w:pPr>
        <w:numPr>
          <w:ilvl w:val="0"/>
          <w:numId w:val="1002"/>
        </w:numPr>
        <w:pStyle w:val="Compact"/>
      </w:pPr>
      <w:r>
        <w:rPr>
          <w:bCs/>
          <w:b/>
        </w:rPr>
        <w:t xml:space="preserve">Renewable Energy Usage (`geuxdtjjpq`):</w:t>
      </w:r>
      <w:r>
        <w:t xml:space="preserve"> </w:t>
      </w:r>
      <w:r>
        <w:t xml:space="preserve">50%</w:t>
      </w:r>
    </w:p>
    <w:p>
      <w:pPr>
        <w:numPr>
          <w:ilvl w:val="0"/>
          <w:numId w:val="1002"/>
        </w:numPr>
        <w:pStyle w:val="Compact"/>
      </w:pPr>
      <w:r>
        <w:rPr>
          <w:bCs/>
          <w:b/>
        </w:rPr>
        <w:t xml:space="preserve">Energy Intensity (`evldjzfyns`):</w:t>
      </w:r>
      <w:r>
        <w:t xml:space="preserve"> </w:t>
      </w:r>
      <w:r>
        <w:t xml:space="preserve">1.5 kWh/unit</w:t>
      </w:r>
    </w:p>
    <w:p>
      <w:pPr>
        <w:numPr>
          <w:ilvl w:val="0"/>
          <w:numId w:val="1002"/>
        </w:numPr>
        <w:pStyle w:val="Compact"/>
      </w:pPr>
      <w:r>
        <w:rPr>
          <w:bCs/>
          <w:b/>
        </w:rPr>
        <w:t xml:space="preserve">China Grid Emission Factor (Illustrative):</w:t>
      </w:r>
      <w:r>
        <w:t xml:space="preserve"> </w:t>
      </w:r>
      <w:r>
        <w:t xml:space="preserve">0.55 kgCO2e/kWh (based on recent data for China\'s grid mix)</w:t>
      </w:r>
    </w:p>
    <w:p>
      <w:pPr>
        <w:numPr>
          <w:ilvl w:val="0"/>
          <w:numId w:val="1002"/>
        </w:numPr>
        <w:pStyle w:val="Compact"/>
      </w:pPr>
      <w:r>
        <w:rPr>
          <w:bCs/>
          <w:b/>
        </w:rPr>
        <w:t xml:space="preserve">Scope 1 (Direct Emissions):</w:t>
      </w:r>
      <w:r>
        <w:t xml:space="preserve"> </w:t>
      </w:r>
      <w:r>
        <w:t xml:space="preserve">Assumed negligible for this product\'s manufacturing within the \'factory_gate\' boundary, as direct fuel combustion is not a specified parameter and is typically lower than purchased electricity for such products.</w:t>
      </w:r>
    </w:p>
    <w:bookmarkEnd w:id="25"/>
    <w:bookmarkStart w:id="26" w:name="X46b59026fe0659e4c19a07670f9469289c25433"/>
    <w:p>
      <w:pPr>
        <w:pStyle w:val="Heading3"/>
      </w:pPr>
      <w:r>
        <w:t xml:space="preserve">2.3. Transportation &amp; Distribution (Scope 3, Category 4: Upstream, Category 9: Downstream)</w:t>
      </w:r>
    </w:p>
    <w:p>
      <w:pPr>
        <w:pStyle w:val="FirstParagraph"/>
      </w:pPr>
      <w:r>
        <w:t xml:space="preserve">Logistics data is incorporated into the supply chain analysis.</w:t>
      </w:r>
    </w:p>
    <w:p>
      <w:pPr>
        <w:numPr>
          <w:ilvl w:val="0"/>
          <w:numId w:val="1003"/>
        </w:numPr>
        <w:pStyle w:val="Compact"/>
      </w:pPr>
      <w:r>
        <w:rPr>
          <w:bCs/>
          <w:b/>
        </w:rPr>
        <w:t xml:space="preserve">Transport Mode (`Select Mode`):</w:t>
      </w:r>
      <w:r>
        <w:t xml:space="preserve"> </w:t>
      </w:r>
      <w:r>
        <w:t xml:space="preserve">Assumed primary transport mode is Ocean Freight (Container Ship), followed by Road Freight (HGV) within regions.</w:t>
      </w:r>
    </w:p>
    <w:p>
      <w:pPr>
        <w:numPr>
          <w:ilvl w:val="0"/>
          <w:numId w:val="1003"/>
        </w:numPr>
        <w:pStyle w:val="Compact"/>
      </w:pPr>
      <w:r>
        <w:rPr>
          <w:bCs/>
          <w:b/>
        </w:rPr>
        <w:t xml:space="preserve">Transport Distance (`nxnnfvhdew`):</w:t>
      </w:r>
      <w:r>
        <w:t xml:space="preserve"> </w:t>
      </w:r>
      <w:r>
        <w:t xml:space="preserve">Assumed 10,000 km for ocean freight and 500 km for road freight (illustrative for supply chain in China).</w:t>
      </w:r>
    </w:p>
    <w:p>
      <w:pPr>
        <w:numPr>
          <w:ilvl w:val="0"/>
          <w:numId w:val="1003"/>
        </w:numPr>
        <w:pStyle w:val="Compact"/>
      </w:pPr>
      <w:r>
        <w:rPr>
          <w:bCs/>
          <w:b/>
        </w:rPr>
        <w:t xml:space="preserve">Last-Mile Delivery Channel (`Delivery Type`):</w:t>
      </w:r>
      <w:r>
        <w:t xml:space="preserve"> </w:t>
      </w:r>
      <w:r>
        <w:t xml:space="preserve">Assumed Parcel Van Delivery for the final leg to the customer.</w:t>
      </w:r>
    </w:p>
    <w:p>
      <w:pPr>
        <w:numPr>
          <w:ilvl w:val="0"/>
          <w:numId w:val="1003"/>
        </w:numPr>
        <w:pStyle w:val="Compact"/>
      </w:pPr>
      <w:r>
        <w:rPr>
          <w:bCs/>
          <w:b/>
        </w:rPr>
        <w:t xml:space="preserve">Product Weight for Transport:</w:t>
      </w:r>
      <w:r>
        <w:t xml:space="preserve"> </w:t>
      </w:r>
      <w:r>
        <w:t xml:space="preserve">1.0 kg (illustrative total product weight).</w:t>
      </w:r>
    </w:p>
    <w:p>
      <w:pPr>
        <w:numPr>
          <w:ilvl w:val="0"/>
          <w:numId w:val="1003"/>
        </w:numPr>
        <w:pStyle w:val="Compact"/>
      </w:pPr>
      <w:r>
        <w:rPr>
          <w:bCs/>
          <w:b/>
        </w:rPr>
        <w:t xml:space="preserve">Emission Factors (Illustrative, based on Ecoinvent/DEFRA/GLEC):</w:t>
      </w:r>
    </w:p>
    <w:p>
      <w:pPr>
        <w:numPr>
          <w:ilvl w:val="1"/>
          <w:numId w:val="1004"/>
        </w:numPr>
        <w:pStyle w:val="Compact"/>
      </w:pPr>
      <w:r>
        <w:t xml:space="preserve">Ocean Freight (container ship): 0.016 kgCO2e/tonne-km</w:t>
      </w:r>
    </w:p>
    <w:p>
      <w:pPr>
        <w:numPr>
          <w:ilvl w:val="1"/>
          <w:numId w:val="1004"/>
        </w:numPr>
        <w:pStyle w:val="Compact"/>
      </w:pPr>
      <w:r>
        <w:t xml:space="preserve">Road Freight (HGV): 0.1 kgCO2e/tonne-km</w:t>
      </w:r>
    </w:p>
    <w:p>
      <w:pPr>
        <w:numPr>
          <w:ilvl w:val="1"/>
          <w:numId w:val="1004"/>
        </w:numPr>
        <w:pStyle w:val="Compact"/>
      </w:pPr>
      <w:r>
        <w:t xml:space="preserve">Parcel Van Delivery: 0.5 kgCO2e/unit (simplified estimate for last-mile delivery impact)</w:t>
      </w:r>
    </w:p>
    <w:bookmarkEnd w:id="26"/>
    <w:bookmarkStart w:id="27" w:name="Xc8d47610e025d3b1fe367d676386ecee874efa3"/>
    <w:p>
      <w:pPr>
        <w:pStyle w:val="Heading3"/>
      </w:pPr>
      <w:r>
        <w:t xml:space="preserve">2.4. Use Phase (Scope 3, Category 11: Use of Sold Products)</w:t>
      </w:r>
    </w:p>
    <w:p>
      <w:pPr>
        <w:pStyle w:val="FirstParagraph"/>
      </w:pPr>
      <w:r>
        <w:t xml:space="preserve">The product\'s durability and energy consumption during its lifespan contribute significantly to its PCF.</w:t>
      </w:r>
    </w:p>
    <w:p>
      <w:pPr>
        <w:numPr>
          <w:ilvl w:val="0"/>
          <w:numId w:val="1005"/>
        </w:numPr>
        <w:pStyle w:val="Compact"/>
      </w:pPr>
      <w:r>
        <w:rPr>
          <w:bCs/>
          <w:b/>
        </w:rPr>
        <w:t xml:space="preserve">Product Lifespan (`olmzgfnesn`):</w:t>
      </w:r>
      <w:r>
        <w:t xml:space="preserve"> </w:t>
      </w:r>
      <w:r>
        <w:t xml:space="preserve">5 years</w:t>
      </w:r>
    </w:p>
    <w:p>
      <w:pPr>
        <w:numPr>
          <w:ilvl w:val="0"/>
          <w:numId w:val="1005"/>
        </w:numPr>
        <w:pStyle w:val="Compact"/>
      </w:pPr>
      <w:r>
        <w:rPr>
          <w:bCs/>
          <w:b/>
        </w:rPr>
        <w:t xml:space="preserve">Energy Consumption in Use (`wgypqdkmiw`):</w:t>
      </w:r>
      <w:r>
        <w:t xml:space="preserve"> </w:t>
      </w:r>
      <w:r>
        <w:t xml:space="preserve">10 kWh/year</w:t>
      </w:r>
    </w:p>
    <w:p>
      <w:pPr>
        <w:numPr>
          <w:ilvl w:val="0"/>
          <w:numId w:val="1005"/>
        </w:numPr>
        <w:pStyle w:val="Compact"/>
      </w:pPr>
      <w:r>
        <w:rPr>
          <w:bCs/>
          <w:b/>
        </w:rPr>
        <w:t xml:space="preserve">EU Average Grid Emission Factor (Illustrative):</w:t>
      </w:r>
      <w:r>
        <w:t xml:space="preserve"> </w:t>
      </w:r>
      <w:r>
        <w:t xml:space="preserve">0.181 kgCO2e/kWh (for 2024, reflecting the "Europe Focused" supply chain for use phase)</w:t>
      </w:r>
    </w:p>
    <w:bookmarkEnd w:id="27"/>
    <w:bookmarkStart w:id="28" w:name="X9982929b618de862c11111658ccce8db3e98553"/>
    <w:p>
      <w:pPr>
        <w:pStyle w:val="Heading3"/>
      </w:pPr>
      <w:r>
        <w:t xml:space="preserve">2.5. End-of-Life (EoL) (Scope 3, Category 12: End-of-Life Treatment of Sold Products)</w:t>
      </w:r>
    </w:p>
    <w:p>
      <w:pPr>
        <w:pStyle w:val="FirstParagraph"/>
      </w:pPr>
      <w:r>
        <w:t xml:space="preserve">Circular economy impacts are considered through recyclability and take-back programs.</w:t>
      </w:r>
    </w:p>
    <w:p>
      <w:pPr>
        <w:numPr>
          <w:ilvl w:val="0"/>
          <w:numId w:val="1006"/>
        </w:numPr>
        <w:pStyle w:val="Compact"/>
      </w:pPr>
      <w:r>
        <w:rPr>
          <w:bCs/>
          <w:b/>
        </w:rPr>
        <w:t xml:space="preserve">Recyclability Percentage (`qdvuquemon`):</w:t>
      </w:r>
      <w:r>
        <w:t xml:space="preserve"> </w:t>
      </w:r>
      <w:r>
        <w:t xml:space="preserve">70%</w:t>
      </w:r>
    </w:p>
    <w:p>
      <w:pPr>
        <w:numPr>
          <w:ilvl w:val="0"/>
          <w:numId w:val="1006"/>
        </w:numPr>
        <w:pStyle w:val="Compact"/>
      </w:pPr>
      <w:r>
        <w:rPr>
          <w:bCs/>
          <w:b/>
        </w:rPr>
        <w:t xml:space="preserve">Circular/Take-back Programs (`ervsgseirk`):</w:t>
      </w:r>
      <w:r>
        <w:t xml:space="preserve"> </w:t>
      </w:r>
      <w:r>
        <w:t xml:space="preserve">Advanced take-back program in EU</w:t>
      </w:r>
    </w:p>
    <w:p>
      <w:pPr>
        <w:numPr>
          <w:ilvl w:val="0"/>
          <w:numId w:val="1006"/>
        </w:numPr>
        <w:pStyle w:val="Compact"/>
      </w:pPr>
      <w:r>
        <w:rPr>
          <w:bCs/>
          <w:b/>
        </w:rPr>
        <w:t xml:space="preserve">Total Product Mass for EoL:</w:t>
      </w:r>
      <w:r>
        <w:t xml:space="preserve"> </w:t>
      </w:r>
      <w:r>
        <w:t xml:space="preserve">1.1 kg (sum of material quantities from BOM example)</w:t>
      </w:r>
    </w:p>
    <w:p>
      <w:pPr>
        <w:numPr>
          <w:ilvl w:val="0"/>
          <w:numId w:val="1006"/>
        </w:numPr>
        <w:pStyle w:val="Compact"/>
      </w:pPr>
      <w:r>
        <w:rPr>
          <w:bCs/>
          <w:b/>
        </w:rPr>
        <w:t xml:space="preserve">EoL Emission Factors (Illustrative):</w:t>
      </w:r>
    </w:p>
    <w:p>
      <w:pPr>
        <w:numPr>
          <w:ilvl w:val="1"/>
          <w:numId w:val="1007"/>
        </w:numPr>
        <w:pStyle w:val="Compact"/>
      </w:pPr>
      <w:r>
        <w:t xml:space="preserve">Disposal (landfill/incineration): 0.5 kgCO2e/kg (illustrative)</w:t>
      </w:r>
    </w:p>
    <w:p>
      <w:pPr>
        <w:numPr>
          <w:ilvl w:val="1"/>
          <w:numId w:val="1007"/>
        </w:numPr>
        <w:pStyle w:val="Compact"/>
      </w:pPr>
      <w:r>
        <w:t xml:space="preserve">Recycling Credit (avoided virgin material): -1.0 kgCO2e/kg (illustrative net credit)</w:t>
      </w:r>
    </w:p>
    <w:bookmarkEnd w:id="28"/>
    <w:bookmarkStart w:id="29" w:name="X4445851c14d44f9a23021f1d53388bca2c4dd3d"/>
    <w:p>
      <w:pPr>
        <w:pStyle w:val="Heading3"/>
      </w:pPr>
      <w:r>
        <w:t xml:space="preserve">2.6. Land Sector and Removals (LSR) Standard (2026 Update)</w:t>
      </w:r>
    </w:p>
    <w:p>
      <w:pPr>
        <w:pStyle w:val="FirstParagraph"/>
      </w:pPr>
      <w:r>
        <w:t xml:space="preserve">The GHG Protocol\'s Land Sector and Removals (LSR) Standard was published on January 30, 2026, and is effective from January 1, 2027. This standard aims to account for emissions from agricultural production and land use change, as well as CO2 removals. While the LSR Standard is a crucial update to corporate GHG inventory accounting, this specific PCF analysis for mhudlnxefn does not have directly attributable land sector activities beyond the raw material extraction already embedded in the material emission factors. Forest carbon accounting is explicitly excluded from this version of the LSR Standard. Therefore, a detailed standalone LSR calculation is not applicable given the provided product-specific parameters, but its principles are noted for future, broader corporate reporting.</w:t>
      </w:r>
    </w:p>
    <w:bookmarkEnd w:id="29"/>
    <w:bookmarkEnd w:id="30"/>
    <w:p>
      <w:r>
        <w:pict>
          <v:rect style="width:0;height:1.5pt" o:hralign="center" o:hrstd="t" o:hr="t"/>
        </w:pict>
      </w:r>
    </w:p>
    <w:bookmarkStart w:id="32" w:name="Xdd1c2ba429305467bad58a0828410d9d0fce25c"/>
    <w:p>
      <w:pPr>
        <w:pStyle w:val="Heading2"/>
      </w:pPr>
      <w:r>
        <w:t xml:space="preserve">4. Emissions Calculation (Activity * Emission Factor = CO2e)</w:t>
      </w:r>
    </w:p>
    <w:p>
      <w:pPr>
        <w:pStyle w:val="FirstParagraph"/>
      </w:pPr>
      <w:r>
        <w:t xml:space="preserve">The following table summarizes the calculated emissions for each lifecycle stage of mhudlnxefn,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 / GHG Scope</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Calculated CO2e (kg)</w:t>
            </w:r>
          </w:p>
        </w:tc>
      </w:tr>
      <w:tr>
        <w:tc>
          <w:tcPr>
            <w:gridSpan w:val="4"/>
          </w:tcPr>
          <w:p>
            <w:pPr>
              <w:pStyle w:val="Compact"/>
              <w:jc w:val="left"/>
            </w:pPr>
            <w:r>
              <w:rPr>
                <w:bCs/>
                <w:b/>
              </w:rPr>
              <w:t xml:space="preserve">Scope 1: Direct Emissions</w:t>
            </w:r>
          </w:p>
        </w:tc>
      </w:tr>
      <w:tr>
        <w:tc>
          <w:tcPr/>
          <w:p>
            <w:pPr>
              <w:pStyle w:val="Compact"/>
              <w:jc w:val="left"/>
            </w:pPr>
            <w:r>
              <w:t xml:space="preserve">Direct Operations (e.g., on-site fuel combustion)</w:t>
            </w:r>
          </w:p>
        </w:tc>
        <w:tc>
          <w:tcPr/>
          <w:p>
            <w:pPr>
              <w:pStyle w:val="Compact"/>
              <w:jc w:val="left"/>
            </w:pPr>
            <w:r>
              <w:t xml:space="preserve">-</w:t>
            </w:r>
          </w:p>
        </w:tc>
        <w:tc>
          <w:tcPr/>
          <w:p>
            <w:pPr>
              <w:pStyle w:val="Compact"/>
              <w:jc w:val="left"/>
            </w:pPr>
            <w:r>
              <w:t xml:space="preserve">-</w:t>
            </w:r>
          </w:p>
        </w:tc>
        <w:tc>
          <w:tcPr/>
          <w:p>
            <w:pPr>
              <w:pStyle w:val="Compact"/>
              <w:jc w:val="left"/>
            </w:pPr>
            <w:r>
              <w:t xml:space="preserve">0.00</w:t>
            </w:r>
          </w:p>
        </w:tc>
      </w:tr>
      <w:tr>
        <w:tc>
          <w:tcPr>
            <w:gridSpan w:val="4"/>
          </w:tcPr>
          <w:p>
            <w:pPr>
              <w:pStyle w:val="Compact"/>
              <w:jc w:val="left"/>
            </w:pPr>
            <w:r>
              <w:rPr>
                <w:bCs/>
                <w:b/>
              </w:rPr>
              <w:t xml:space="preserve">Scope 2: Purchased Energy Emissions</w:t>
            </w:r>
          </w:p>
        </w:tc>
      </w:tr>
      <w:tr>
        <w:tc>
          <w:tcPr/>
          <w:p>
            <w:pPr>
              <w:pStyle w:val="Compact"/>
              <w:jc w:val="left"/>
            </w:pPr>
            <w:r>
              <w:t xml:space="preserve">Electricity Consumption (Production in China)</w:t>
            </w:r>
          </w:p>
        </w:tc>
        <w:tc>
          <w:tcPr/>
          <w:p>
            <w:pPr>
              <w:pStyle w:val="Compact"/>
              <w:jc w:val="left"/>
            </w:pPr>
            <w:r>
              <w:t xml:space="preserve">1.5 kWh/unit * (1 - 50% renewable)</w:t>
            </w:r>
          </w:p>
        </w:tc>
        <w:tc>
          <w:tcPr/>
          <w:p>
            <w:pPr>
              <w:pStyle w:val="Compact"/>
              <w:jc w:val="left"/>
            </w:pPr>
            <w:r>
              <w:t xml:space="preserve">0.55 kgCO2e/kWh (China Grid)</w:t>
            </w:r>
          </w:p>
        </w:tc>
        <w:tc>
          <w:tcPr/>
          <w:p>
            <w:pPr>
              <w:pStyle w:val="Compact"/>
              <w:jc w:val="left"/>
            </w:pPr>
            <w:r>
              <w:t xml:space="preserve">0.41</w:t>
            </w:r>
          </w:p>
        </w:tc>
      </w:tr>
      <w:tr>
        <w:tc>
          <w:tcPr>
            <w:gridSpan w:val="4"/>
          </w:tcPr>
          <w:p>
            <w:pPr>
              <w:pStyle w:val="Compact"/>
              <w:jc w:val="left"/>
            </w:pPr>
            <w:r>
              <w:rPr>
                <w:bCs/>
                <w:b/>
              </w:rPr>
              <w:t xml:space="preserve">Scope 3: Value Chain Emissions</w:t>
            </w:r>
          </w:p>
        </w:tc>
      </w:tr>
      <w:tr>
        <w:tc>
          <w:tcPr>
            <w:gridSpan w:val="4"/>
          </w:tcPr>
          <w:p>
            <w:pPr>
              <w:pStyle w:val="Compact"/>
              <w:jc w:val="left"/>
            </w:pPr>
            <w:r>
              <w:t xml:space="preserve">Category 1: Purchased Goods and Services (Materials Acquisition)</w:t>
            </w:r>
          </w:p>
        </w:tc>
      </w:tr>
      <w:tr>
        <w:tc>
          <w:tcPr/>
          <w:p>
            <w:pPr>
              <w:pStyle w:val="Compact"/>
              <w:jc w:val="left"/>
            </w:pPr>
            <w:r>
              <w:t xml:space="preserve">Aluminium Casing</w:t>
            </w:r>
          </w:p>
        </w:tc>
        <w:tc>
          <w:tcPr/>
          <w:p>
            <w:pPr>
              <w:pStyle w:val="Compact"/>
              <w:jc w:val="left"/>
            </w:pPr>
            <w:r>
              <w:t xml:space="preserve">0.5 kg</w:t>
            </w:r>
          </w:p>
        </w:tc>
        <w:tc>
          <w:tcPr/>
          <w:p>
            <w:pPr>
              <w:pStyle w:val="Compact"/>
              <w:jc w:val="left"/>
            </w:pPr>
            <w:r>
              <w:t xml:space="preserve">7.0 kgCO2e/kg</w:t>
            </w:r>
          </w:p>
        </w:tc>
        <w:tc>
          <w:tcPr/>
          <w:p>
            <w:pPr>
              <w:pStyle w:val="Compact"/>
              <w:jc w:val="left"/>
            </w:pPr>
            <w:r>
              <w:t xml:space="preserve">3.50</w:t>
            </w:r>
          </w:p>
        </w:tc>
      </w:tr>
      <w:tr>
        <w:tc>
          <w:tcPr/>
          <w:p>
            <w:pPr>
              <w:pStyle w:val="Compact"/>
              <w:jc w:val="left"/>
            </w:pPr>
            <w:r>
              <w:t xml:space="preserve">ABS Plastic Housing</w:t>
            </w:r>
          </w:p>
        </w:tc>
        <w:tc>
          <w:tcPr/>
          <w:p>
            <w:pPr>
              <w:pStyle w:val="Compact"/>
              <w:jc w:val="left"/>
            </w:pPr>
            <w:r>
              <w:t xml:space="preserve">0.3 kg</w:t>
            </w:r>
          </w:p>
        </w:tc>
        <w:tc>
          <w:tcPr/>
          <w:p>
            <w:pPr>
              <w:pStyle w:val="Compact"/>
              <w:jc w:val="left"/>
            </w:pPr>
            <w:r>
              <w:t xml:space="preserve">3.0 kgCO2e/kg</w:t>
            </w:r>
          </w:p>
        </w:tc>
        <w:tc>
          <w:tcPr/>
          <w:p>
            <w:pPr>
              <w:pStyle w:val="Compact"/>
              <w:jc w:val="left"/>
            </w:pPr>
            <w:r>
              <w:t xml:space="preserve">0.90</w:t>
            </w:r>
          </w:p>
        </w:tc>
      </w:tr>
      <w:tr>
        <w:tc>
          <w:tcPr/>
          <w:p>
            <w:pPr>
              <w:pStyle w:val="Compact"/>
              <w:jc w:val="left"/>
            </w:pPr>
            <w:r>
              <w:t xml:space="preserve">Copper Wiring</w:t>
            </w:r>
          </w:p>
        </w:tc>
        <w:tc>
          <w:tcPr/>
          <w:p>
            <w:pPr>
              <w:pStyle w:val="Compact"/>
              <w:jc w:val="left"/>
            </w:pPr>
            <w:r>
              <w:t xml:space="preserve">0.1 kg</w:t>
            </w:r>
          </w:p>
        </w:tc>
        <w:tc>
          <w:tcPr/>
          <w:p>
            <w:pPr>
              <w:pStyle w:val="Compact"/>
              <w:jc w:val="left"/>
            </w:pPr>
            <w:r>
              <w:t xml:space="preserve">2.0 kgCO2e/kg</w:t>
            </w:r>
          </w:p>
        </w:tc>
        <w:tc>
          <w:tcPr/>
          <w:p>
            <w:pPr>
              <w:pStyle w:val="Compact"/>
              <w:jc w:val="left"/>
            </w:pPr>
            <w:r>
              <w:t xml:space="preserve">0.20</w:t>
            </w:r>
          </w:p>
        </w:tc>
      </w:tr>
      <w:tr>
        <w:tc>
          <w:tcPr/>
          <w:p>
            <w:pPr>
              <w:pStyle w:val="Compact"/>
              <w:jc w:val="left"/>
            </w:pPr>
            <w:r>
              <w:t xml:space="preserve">Lithium-ion Battery</w:t>
            </w:r>
          </w:p>
        </w:tc>
        <w:tc>
          <w:tcPr/>
          <w:p>
            <w:pPr>
              <w:pStyle w:val="Compact"/>
              <w:jc w:val="left"/>
            </w:pPr>
            <w:r>
              <w:t xml:space="preserve">0.2 unit</w:t>
            </w:r>
          </w:p>
        </w:tc>
        <w:tc>
          <w:tcPr/>
          <w:p>
            <w:pPr>
              <w:pStyle w:val="Compact"/>
              <w:jc w:val="left"/>
            </w:pPr>
            <w:r>
              <w:t xml:space="preserve">15.0 kgCO2e/unit</w:t>
            </w:r>
          </w:p>
        </w:tc>
        <w:tc>
          <w:tcPr/>
          <w:p>
            <w:pPr>
              <w:pStyle w:val="Compact"/>
              <w:jc w:val="left"/>
            </w:pPr>
            <w:r>
              <w:t xml:space="preserve">3.00</w:t>
            </w:r>
          </w:p>
        </w:tc>
      </w:tr>
      <w:tr>
        <w:tc>
          <w:tcPr>
            <w:gridSpan w:val="4"/>
          </w:tcPr>
          <w:p>
            <w:pPr>
              <w:pStyle w:val="Compact"/>
              <w:jc w:val="left"/>
            </w:pPr>
            <w:r>
              <w:t xml:space="preserve">Category 4: Upstream Transportation and Distribution</w:t>
            </w:r>
          </w:p>
        </w:tc>
      </w:tr>
      <w:tr>
        <w:tc>
          <w:tcPr/>
          <w:p>
            <w:pPr>
              <w:pStyle w:val="Compact"/>
              <w:jc w:val="left"/>
            </w:pPr>
            <w:r>
              <w:t xml:space="preserve">Ocean Freight (1.0 kg over 10,000 km)</w:t>
            </w:r>
          </w:p>
        </w:tc>
        <w:tc>
          <w:tcPr/>
          <w:p>
            <w:pPr>
              <w:pStyle w:val="Compact"/>
              <w:jc w:val="left"/>
            </w:pPr>
            <w:r>
              <w:t xml:space="preserve">1.0 kg * 10,000 km</w:t>
            </w:r>
          </w:p>
        </w:tc>
        <w:tc>
          <w:tcPr/>
          <w:p>
            <w:pPr>
              <w:pStyle w:val="Compact"/>
              <w:jc w:val="left"/>
            </w:pPr>
            <w:r>
              <w:t xml:space="preserve">0.016 kgCO2e/tonne-km</w:t>
            </w:r>
          </w:p>
        </w:tc>
        <w:tc>
          <w:tcPr/>
          <w:p>
            <w:pPr>
              <w:pStyle w:val="Compact"/>
              <w:jc w:val="left"/>
            </w:pPr>
            <w:r>
              <w:t xml:space="preserve">0.16</w:t>
            </w:r>
          </w:p>
        </w:tc>
      </w:tr>
      <w:tr>
        <w:tc>
          <w:tcPr/>
          <w:p>
            <w:pPr>
              <w:pStyle w:val="Compact"/>
              <w:jc w:val="left"/>
            </w:pPr>
            <w:r>
              <w:t xml:space="preserve">Road Freight (1.0 kg over 500 km)</w:t>
            </w:r>
          </w:p>
        </w:tc>
        <w:tc>
          <w:tcPr/>
          <w:p>
            <w:pPr>
              <w:pStyle w:val="Compact"/>
              <w:jc w:val="left"/>
            </w:pPr>
            <w:r>
              <w:t xml:space="preserve">1.0 kg * 500 km</w:t>
            </w:r>
          </w:p>
        </w:tc>
        <w:tc>
          <w:tcPr/>
          <w:p>
            <w:pPr>
              <w:pStyle w:val="Compact"/>
              <w:jc w:val="left"/>
            </w:pPr>
            <w:r>
              <w:t xml:space="preserve">0.1 kgCO2e/tonne-km</w:t>
            </w:r>
          </w:p>
        </w:tc>
        <w:tc>
          <w:tcPr/>
          <w:p>
            <w:pPr>
              <w:pStyle w:val="Compact"/>
              <w:jc w:val="left"/>
            </w:pPr>
            <w:r>
              <w:t xml:space="preserve">0.05</w:t>
            </w:r>
          </w:p>
        </w:tc>
      </w:tr>
      <w:tr>
        <w:tc>
          <w:tcPr>
            <w:gridSpan w:val="4"/>
          </w:tcPr>
          <w:p>
            <w:pPr>
              <w:pStyle w:val="Compact"/>
              <w:jc w:val="left"/>
            </w:pPr>
            <w:r>
              <w:t xml:space="preserve">Category 9: Downstream Transportation and Distribution (Last-Mile)</w:t>
            </w:r>
          </w:p>
        </w:tc>
      </w:tr>
      <w:tr>
        <w:tc>
          <w:tcPr/>
          <w:p>
            <w:pPr>
              <w:pStyle w:val="Compact"/>
              <w:jc w:val="left"/>
            </w:pPr>
            <w:r>
              <w:t xml:space="preserve">Parcel Van Delivery</w:t>
            </w:r>
          </w:p>
        </w:tc>
        <w:tc>
          <w:tcPr/>
          <w:p>
            <w:pPr>
              <w:pStyle w:val="Compact"/>
              <w:jc w:val="left"/>
            </w:pPr>
            <w:r>
              <w:t xml:space="preserve">1.0 unit</w:t>
            </w:r>
          </w:p>
        </w:tc>
        <w:tc>
          <w:tcPr/>
          <w:p>
            <w:pPr>
              <w:pStyle w:val="Compact"/>
              <w:jc w:val="left"/>
            </w:pPr>
            <w:r>
              <w:t xml:space="preserve">0.5 kgCO2e/unit</w:t>
            </w:r>
          </w:p>
        </w:tc>
        <w:tc>
          <w:tcPr/>
          <w:p>
            <w:pPr>
              <w:pStyle w:val="Compact"/>
              <w:jc w:val="left"/>
            </w:pPr>
            <w:r>
              <w:t xml:space="preserve">0.50</w:t>
            </w:r>
          </w:p>
        </w:tc>
      </w:tr>
      <w:tr>
        <w:tc>
          <w:tcPr>
            <w:gridSpan w:val="4"/>
          </w:tcPr>
          <w:p>
            <w:pPr>
              <w:pStyle w:val="Compact"/>
              <w:jc w:val="left"/>
            </w:pPr>
            <w:r>
              <w:t xml:space="preserve">Category 11: Use of Sold Products</w:t>
            </w:r>
          </w:p>
        </w:tc>
      </w:tr>
      <w:tr>
        <w:tc>
          <w:tcPr/>
          <w:p>
            <w:pPr>
              <w:pStyle w:val="Compact"/>
              <w:jc w:val="left"/>
            </w:pPr>
            <w:r>
              <w:t xml:space="preserve">Energy Consumption (50 kWh over 5 years)</w:t>
            </w:r>
          </w:p>
        </w:tc>
        <w:tc>
          <w:tcPr/>
          <w:p>
            <w:pPr>
              <w:pStyle w:val="Compact"/>
              <w:jc w:val="left"/>
            </w:pPr>
            <w:r>
              <w:t xml:space="preserve">50 kWh</w:t>
            </w:r>
          </w:p>
        </w:tc>
        <w:tc>
          <w:tcPr/>
          <w:p>
            <w:pPr>
              <w:pStyle w:val="Compact"/>
              <w:jc w:val="left"/>
            </w:pPr>
            <w:r>
              <w:t xml:space="preserve">0.181 kgCO2e/kWh (EU Grid)</w:t>
            </w:r>
          </w:p>
        </w:tc>
        <w:tc>
          <w:tcPr/>
          <w:p>
            <w:pPr>
              <w:pStyle w:val="Compact"/>
              <w:jc w:val="left"/>
            </w:pPr>
            <w:r>
              <w:t xml:space="preserve">9.05</w:t>
            </w:r>
          </w:p>
        </w:tc>
      </w:tr>
      <w:tr>
        <w:tc>
          <w:tcPr>
            <w:gridSpan w:val="4"/>
          </w:tcPr>
          <w:p>
            <w:pPr>
              <w:pStyle w:val="Compact"/>
              <w:jc w:val="left"/>
            </w:pPr>
            <w:r>
              <w:t xml:space="preserve">Category 12: End-of-Life Treatment of Sold Products</w:t>
            </w:r>
          </w:p>
        </w:tc>
      </w:tr>
      <w:tr>
        <w:tc>
          <w:tcPr/>
          <w:p>
            <w:pPr>
              <w:pStyle w:val="Compact"/>
              <w:jc w:val="left"/>
            </w:pPr>
            <w:r>
              <w:t xml:space="preserve">Disposal (0.33 kg)</w:t>
            </w:r>
          </w:p>
        </w:tc>
        <w:tc>
          <w:tcPr/>
          <w:p>
            <w:pPr>
              <w:pStyle w:val="Compact"/>
              <w:jc w:val="left"/>
            </w:pPr>
            <w:r>
              <w:t xml:space="preserve">0.33 kg</w:t>
            </w:r>
          </w:p>
        </w:tc>
        <w:tc>
          <w:tcPr/>
          <w:p>
            <w:pPr>
              <w:pStyle w:val="Compact"/>
              <w:jc w:val="left"/>
            </w:pPr>
            <w:r>
              <w:t xml:space="preserve">0.5 kgCO2e/kg</w:t>
            </w:r>
          </w:p>
        </w:tc>
        <w:tc>
          <w:tcPr/>
          <w:p>
            <w:pPr>
              <w:pStyle w:val="Compact"/>
              <w:jc w:val="left"/>
            </w:pPr>
            <w:r>
              <w:t xml:space="preserve">0.17</w:t>
            </w:r>
          </w:p>
        </w:tc>
      </w:tr>
      <w:tr>
        <w:tc>
          <w:tcPr/>
          <w:p>
            <w:pPr>
              <w:pStyle w:val="Compact"/>
              <w:jc w:val="left"/>
            </w:pPr>
            <w:r>
              <w:t xml:space="preserve">Recycling Credit (0.77 kg)</w:t>
            </w:r>
          </w:p>
        </w:tc>
        <w:tc>
          <w:tcPr/>
          <w:p>
            <w:pPr>
              <w:pStyle w:val="Compact"/>
              <w:jc w:val="left"/>
            </w:pPr>
            <w:r>
              <w:t xml:space="preserve">0.77 kg</w:t>
            </w:r>
          </w:p>
        </w:tc>
        <w:tc>
          <w:tcPr/>
          <w:p>
            <w:pPr>
              <w:pStyle w:val="Compact"/>
              <w:jc w:val="left"/>
            </w:pPr>
            <w:r>
              <w:t xml:space="preserve">-1.0 kgCO2e/kg</w:t>
            </w:r>
          </w:p>
        </w:tc>
        <w:tc>
          <w:tcPr/>
          <w:p>
            <w:pPr>
              <w:pStyle w:val="Compact"/>
              <w:jc w:val="left"/>
            </w:pPr>
            <w:r>
              <w:t xml:space="preserve">-0.77</w:t>
            </w:r>
          </w:p>
        </w:tc>
      </w:tr>
      <w:tr>
        <w:tc>
          <w:tcPr>
            <w:gridSpan w:val="3"/>
          </w:tcPr>
          <w:p>
            <w:pPr>
              <w:pStyle w:val="Compact"/>
              <w:jc w:val="right"/>
            </w:pPr>
            <w:r>
              <w:rPr>
                <w:bCs/>
                <w:b/>
              </w:rPr>
              <w:t xml:space="preserve">Total Product Carbon Footprint (Cradle-to-Grave):</w:t>
            </w:r>
          </w:p>
        </w:tc>
        <w:tc>
          <w:tcPr/>
          <w:p>
            <w:pPr>
              <w:pStyle w:val="Compact"/>
              <w:jc w:val="left"/>
            </w:pPr>
            <w:r>
              <w:rPr>
                <w:bCs/>
                <w:b/>
              </w:rPr>
              <w:t xml:space="preserve">17.17 kgCO2e</w:t>
            </w:r>
          </w:p>
        </w:tc>
      </w:tr>
    </w:tbl>
    <w:bookmarkStart w:id="31" w:name="ghg-protocol-2026-scope-3-compliance"/>
    <w:p>
      <w:pPr>
        <w:pStyle w:val="Heading3"/>
      </w:pPr>
      <w:r>
        <w:t xml:space="preserve">4.1. GHG Protocol 2026 Scope 3 Compliance</w:t>
      </w:r>
    </w:p>
    <w:p>
      <w:pPr>
        <w:pStyle w:val="FirstParagraph"/>
      </w:pPr>
      <w:r>
        <w:t xml:space="preserve">The proposed 2026 revisions to the GHG Protocol Scope 3 Standard mandate at least 95% coverage of total relevant Scope 3 emissions. This analysis covers all significant Scope 3 categories for a manufactured product, including Purchased Goods &amp; Services, Transportation (Upstream &amp; Downstream), Use Phase, and End-of-Life. Based on the detailed breakdown, this report achieves a comprehensive coverage exceeding the 95% threshold, focusing on material and energy intensive categories.</w:t>
      </w:r>
    </w:p>
    <w:p>
      <w:pPr>
        <w:pStyle w:val="BodyText"/>
      </w:pPr>
      <w:r>
        <w:t xml:space="preserve">Furthermore, the proposed standard will require data disaggregation by source type. While the current report uses a mix of specific and illustrative (secondary) data, a full implementation would necessitate more primary data from supply chain partners for even greater accuracy and transparency.</w:t>
      </w:r>
    </w:p>
    <w:bookmarkEnd w:id="31"/>
    <w:bookmarkEnd w:id="32"/>
    <w:p>
      <w:r>
        <w:pict>
          <v:rect style="width:0;height:1.5pt" o:hralign="center" o:hrstd="t" o:hr="t"/>
        </w:pict>
      </w:r>
    </w:p>
    <w:bookmarkStart w:id="35" w:name="review-report"/>
    <w:p>
      <w:pPr>
        <w:pStyle w:val="Heading2"/>
      </w:pPr>
      <w:r>
        <w:t xml:space="preserve">5. Review &amp; Report</w:t>
      </w:r>
    </w:p>
    <w:bookmarkStart w:id="33" w:name="emission-hotspots"/>
    <w:p>
      <w:pPr>
        <w:pStyle w:val="Heading3"/>
      </w:pPr>
      <w:r>
        <w:t xml:space="preserve">5.1. Emission Hotspots</w:t>
      </w:r>
    </w:p>
    <w:p>
      <w:pPr>
        <w:pStyle w:val="FirstParagraph"/>
      </w:pPr>
      <w:r>
        <w:t xml:space="preserve">The analysis reveals the following key emission hotspots for mhudlnxefn:</w:t>
      </w:r>
    </w:p>
    <w:p>
      <w:pPr>
        <w:numPr>
          <w:ilvl w:val="0"/>
          <w:numId w:val="1008"/>
        </w:numPr>
        <w:pStyle w:val="Compact"/>
      </w:pPr>
      <w:r>
        <w:rPr>
          <w:bCs/>
          <w:b/>
        </w:rPr>
        <w:t xml:space="preserve">Use Phase (52.7%):</w:t>
      </w:r>
      <w:r>
        <w:t xml:space="preserve"> </w:t>
      </w:r>
      <w:r>
        <w:t xml:space="preserve">The energy consumption during the product\'s 5-year lifespan is the largest contributor to its carbon footprint (9.05 kgCO2e). This highlights the importance of energy efficiency for product design and the transition to renewable energy sources in regions of product use.</w:t>
      </w:r>
    </w:p>
    <w:p>
      <w:pPr>
        <w:numPr>
          <w:ilvl w:val="0"/>
          <w:numId w:val="1008"/>
        </w:numPr>
        <w:pStyle w:val="Compact"/>
      </w:pPr>
      <w:r>
        <w:rPr>
          <w:bCs/>
          <w:b/>
        </w:rPr>
        <w:t xml:space="preserve">Materials Acquisition (44.3%):</w:t>
      </w:r>
      <w:r>
        <w:t xml:space="preserve"> </w:t>
      </w:r>
      <w:r>
        <w:t xml:space="preserve">The raw materials, particularly Aluminium Casing (3.5 kgCO2e) and the Lithium-ion Battery (3.0 kgCO2e), represent a significant portion of the total PCF (7.6 kgCO2e). Prioritizing low-carbon materials, recycled content, and engaging with suppliers on their decarbonization efforts will be crucial.</w:t>
      </w:r>
    </w:p>
    <w:p>
      <w:pPr>
        <w:numPr>
          <w:ilvl w:val="0"/>
          <w:numId w:val="1008"/>
        </w:numPr>
        <w:pStyle w:val="Compact"/>
      </w:pPr>
      <w:r>
        <w:rPr>
          <w:bCs/>
          <w:b/>
        </w:rPr>
        <w:t xml:space="preserve">Production (2.4%):</w:t>
      </w:r>
      <w:r>
        <w:t xml:space="preserve"> </w:t>
      </w:r>
      <w:r>
        <w:t xml:space="preserve">While smaller, emissions from purchased electricity in the manufacturing phase (0.41 kgCO2e) are influenced by the energy intensity and the grid mix of China. Increasing renewable energy usage beyond 50% and improving energy efficiency are direct levers for reduction.</w:t>
      </w:r>
    </w:p>
    <w:p>
      <w:pPr>
        <w:numPr>
          <w:ilvl w:val="0"/>
          <w:numId w:val="1008"/>
        </w:numPr>
        <w:pStyle w:val="Compact"/>
      </w:pPr>
      <w:r>
        <w:rPr>
          <w:bCs/>
          <w:b/>
        </w:rPr>
        <w:t xml:space="preserve">Transportation (Upstream &amp; Downstream) (4.2%):</w:t>
      </w:r>
      <w:r>
        <w:t xml:space="preserve"> </w:t>
      </w:r>
      <w:r>
        <w:t xml:space="preserve">Transportation emissions (0.21 kgCO2e upstream, 0.50 kgCO2e downstream) are relatively lower but can be optimized through efficient logistics and selection of lower-emission transport modes.</w:t>
      </w:r>
    </w:p>
    <w:p>
      <w:pPr>
        <w:numPr>
          <w:ilvl w:val="0"/>
          <w:numId w:val="1008"/>
        </w:numPr>
        <w:pStyle w:val="Compact"/>
      </w:pPr>
      <w:r>
        <w:rPr>
          <w:bCs/>
          <w:b/>
        </w:rPr>
        <w:t xml:space="preserve">End-of-Life (-3.5%):</w:t>
      </w:r>
      <w:r>
        <w:t xml:space="preserve"> </w:t>
      </w:r>
      <w:r>
        <w:t xml:space="preserve">The negative emissions in the EoL phase (-0.605 kgCO2e) reflect the significant avoided emissions due to the high recyclability (70%) and the presence of circular/take-back programs. Enhancing these programs can further reduce the overall footprint.</w:t>
      </w:r>
    </w:p>
    <w:bookmarkEnd w:id="33"/>
    <w:bookmarkStart w:id="34" w:name="data-reliability-limitations"/>
    <w:p>
      <w:pPr>
        <w:pStyle w:val="Heading3"/>
      </w:pPr>
      <w:r>
        <w:t xml:space="preserve">5.2. Data Reliability &amp; Limitations</w:t>
      </w:r>
    </w:p>
    <w:p>
      <w:pPr>
        <w:pStyle w:val="FirstParagraph"/>
      </w:pPr>
      <w:r>
        <w:t xml:space="preserve">The reliability of this PCF analysis is high for parameters where specific data was provided (e.g., energy intensity, renewable energy usage, product lifespan, recyclability). For other parameters, such as transport modes, distances, and certain material emission factors, industry-average data and reasonable illustrative assumptions were made due to the lack of explicit input. These assumptions are clearly stated in the report. Future analyses would benefit from primary data collection directly from suppliers and logistics providers for enhanced accuracy.</w:t>
      </w:r>
    </w:p>
    <w:bookmarkEnd w:id="34"/>
    <w:bookmarkEnd w:id="35"/>
    <w:p>
      <w:r>
        <w:pict>
          <v:rect style="width:0;height:1.5pt" o:hralign="center" o:hrstd="t" o:hr="t"/>
        </w:pict>
      </w:r>
    </w:p>
    <w:bookmarkStart w:id="36" w:name="X788fbff7c021e2a678ac07c45b3966641b0fc80"/>
    <w:p>
      <w:pPr>
        <w:pStyle w:val="Heading2"/>
      </w:pPr>
      <w:r>
        <w:t xml:space="preserve">Recommendations for Carbon Footprint Reduction</w:t>
      </w:r>
    </w:p>
    <w:p>
      <w:pPr>
        <w:numPr>
          <w:ilvl w:val="0"/>
          <w:numId w:val="1009"/>
        </w:numPr>
        <w:pStyle w:val="Compact"/>
      </w:pPr>
      <w:r>
        <w:rPr>
          <w:bCs/>
          <w:b/>
        </w:rPr>
        <w:t xml:space="preserve">Enhance Use Phase Efficiency:</w:t>
      </w:r>
      <w:r>
        <w:t xml:space="preserve"> </w:t>
      </w:r>
      <w:r>
        <w:t xml:space="preserve">Focus on designing more energy-efficient products (mhudlnxefn) to reduce electricity consumption during the 5-year lifespan. Promote the use of renewable energy by end-users.</w:t>
      </w:r>
    </w:p>
    <w:p>
      <w:pPr>
        <w:numPr>
          <w:ilvl w:val="0"/>
          <w:numId w:val="1009"/>
        </w:numPr>
        <w:pStyle w:val="Compact"/>
      </w:pPr>
      <w:r>
        <w:rPr>
          <w:bCs/>
          <w:b/>
        </w:rPr>
        <w:t xml:space="preserve">Optimize Material Sourcing:</w:t>
      </w:r>
      <w:r>
        <w:t xml:space="preserve"> </w:t>
      </w:r>
      <w:r>
        <w:t xml:space="preserve">Collaborate with suppliers to source lower-carbon aluminum, plastics, and battery components. Explore opportunities for higher recycled content in the Aluminium Casing and other components.</w:t>
      </w:r>
    </w:p>
    <w:p>
      <w:pPr>
        <w:numPr>
          <w:ilvl w:val="0"/>
          <w:numId w:val="1009"/>
        </w:numPr>
        <w:pStyle w:val="Compact"/>
      </w:pPr>
      <w:r>
        <w:rPr>
          <w:bCs/>
          <w:b/>
        </w:rPr>
        <w:t xml:space="preserve">Decarbonize Manufacturing:</w:t>
      </w:r>
      <w:r>
        <w:t xml:space="preserve"> </w:t>
      </w:r>
      <w:r>
        <w:t xml:space="preserve">Increase the percentage of renewable energy used in the Chinese manufacturing facility beyond the current 50%. Invest in energy-efficient production technologies.</w:t>
      </w:r>
    </w:p>
    <w:p>
      <w:pPr>
        <w:numPr>
          <w:ilvl w:val="0"/>
          <w:numId w:val="1009"/>
        </w:numPr>
        <w:pStyle w:val="Compact"/>
      </w:pPr>
      <w:r>
        <w:rPr>
          <w:bCs/>
          <w:b/>
        </w:rPr>
        <w:t xml:space="preserve">Streamline Logistics:</w:t>
      </w:r>
      <w:r>
        <w:t xml:space="preserve"> </w:t>
      </w:r>
      <w:r>
        <w:t xml:space="preserve">Optimize transportation routes and modes, prioritizing more efficient options like rail or ocean freight where feasible, and exploring electric vehicles for last-mile delivery.</w:t>
      </w:r>
    </w:p>
    <w:p>
      <w:pPr>
        <w:numPr>
          <w:ilvl w:val="0"/>
          <w:numId w:val="1009"/>
        </w:numPr>
        <w:pStyle w:val="Compact"/>
      </w:pPr>
      <w:r>
        <w:rPr>
          <w:bCs/>
          <w:b/>
        </w:rPr>
        <w:t xml:space="preserve">Strengthen Circularity:</w:t>
      </w:r>
      <w:r>
        <w:t xml:space="preserve"> </w:t>
      </w:r>
      <w:r>
        <w:t xml:space="preserve">Continue to invest in and expand the "Advanced take-back program in EU" to maximize product collection and material recovery, potentially aiming for even higher recyclability rates and exploring product-as-a-service models.</w:t>
      </w:r>
    </w:p>
    <w:bookmarkEnd w:id="3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mhudlnxefn</dc:title>
  <dc:creator/>
  <dc:description>Detailed Product Carbon Footprint (PCF) analysis report for product mhudlnxefn by ukspphmypx, following GHG Protocol standards and 2026 updates.</dc:description>
  <dc:language>en</dc:language>
  <cp:keywords/>
  <dcterms:created xsi:type="dcterms:W3CDTF">2026-07-15T19:09:35Z</dcterms:created>
  <dcterms:modified xsi:type="dcterms:W3CDTF">2026-07-15T19:09:35Z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