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mhlxtdlxxs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hlxtdlxxs"/>
    <w:p>
      <w:pPr>
        <w:pStyle w:val="Heading2"/>
      </w:pPr>
      <w:r>
        <w:t xml:space="preserve">Product: mhlxtdlxxs</w:t>
      </w:r>
    </w:p>
    <w:p>
      <w:pPr>
        <w:pStyle w:val="FirstParagraph"/>
      </w:pPr>
      <w:r>
        <w:t xml:space="preserve">**Company Name:** hrkyqqpekd</w:t>
      </w:r>
    </w:p>
    <w:p>
      <w:pPr>
        <w:pStyle w:val="BodyText"/>
      </w:pPr>
      <w:r>
        <w:t xml:space="preserve">**Senior Sustainability Consultant:** lyffowddjg</w:t>
      </w:r>
    </w:p>
    <w:p>
      <w:pPr>
        <w:pStyle w:val="BodyText"/>
      </w:pPr>
      <w:r>
        <w:t xml:space="preserve">**Accounting Standard:** GHG Protocol</w:t>
      </w:r>
    </w:p>
    <w:p>
      <w:pPr>
        <w:pStyle w:val="BodyText"/>
      </w:pPr>
      <w:r>
        <w:t xml:space="preserve">This report is generated based on available data and industry standards. The calculations presented herein are indicative and designed to provide a comprehensive overview of the product\'s carbon footprint based on the provided parameters.</w:t>
      </w:r>
    </w:p>
    <w:bookmarkEnd w:id="20"/>
    <w:bookmarkEnd w:id="21"/>
    <w:bookmarkStart w:id="45" w:name="X2c77deed7c6903e938e2b40897df8bdb5ff4735"/>
    <w:p>
      <w:pPr>
        <w:pStyle w:val="Heading1"/>
      </w:pPr>
      <w:r>
        <w:t xml:space="preserve">Product Carbon Footprint Analysis Report: mhlxtdlxxs</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As Senior Sustainability Consultant lyffowddjg for hrkyqqpekd, this report provides a high-detail Product Carbon Footprint (PCF) analysis for the product mhlxtdlxxs. The analysis adheres strictly to the GHG Protocol accounting standard, incorporating updates such as the 2026 Land Sector and Removals (LSR) Standard and targeting at least 95% coverage for Scope 3 emissions. The total cradle-to-grave carbon footprint for one functional unit of mhlxtdlxxs is determined to be approximately 75.23 kgCO2e, with the use phase identified as the primary hotspot. This report details the methodology, data sources, calculations, and key findings to inform strategic sustainability initiatives for hrkyqqpekd.</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(PCF) analysis for mhlxtdlxxs was conducted following the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stages of the product\'s life cycle for data collection.</w:t>
      </w:r>
    </w:p>
    <w:p>
      <w:pPr>
        <w:numPr>
          <w:ilvl w:val="0"/>
          <w:numId w:val="1001"/>
        </w:numPr>
        <w:pStyle w:val="Compact"/>
      </w:pPr>
      <w:r>
        <w:rPr>
          <w:bCs/>
          <w:b/>
        </w:rPr>
        <w:t xml:space="preserve">Collect Data:</w:t>
      </w:r>
      <w:r>
        <w:t xml:space="preserve"> </w:t>
      </w:r>
      <w:r>
        <w:t xml:space="preserve">Gather primary activity data and secondary emission factors.</w:t>
      </w:r>
    </w:p>
    <w:p>
      <w:pPr>
        <w:numPr>
          <w:ilvl w:val="0"/>
          <w:numId w:val="1001"/>
        </w:numPr>
        <w:pStyle w:val="Compact"/>
      </w:pPr>
      <w:r>
        <w:rPr>
          <w:bCs/>
          <w:b/>
        </w:rPr>
        <w:t xml:space="preserve">Calculate Emissions:</w:t>
      </w:r>
      <w:r>
        <w:t xml:space="preserve"> </w:t>
      </w:r>
      <w:r>
        <w:t xml:space="preserve">Quantify greenhouse gas emissions (CO2e) for each life cycle stage.</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p>
      <w:pPr>
        <w:pStyle w:val="FirstParagraph"/>
      </w:pPr>
      <w:r>
        <w:t xml:space="preserve">Emissions are categorized into Scope 1 (direct emissions), Scope 2 (purchased energy emissions), and Scope 3 (value chain emissions) in accordance with the GHG Protocol Corporate Standard. The 2026 Land Sector and Removals (LSR) Standard principles are applied where relevant, and the analysis aims for over 95% Scope 3 coverage.</w:t>
      </w:r>
    </w:p>
    <w:bookmarkStart w:id="23" w:name="defined-scope-parameters"/>
    <w:p>
      <w:pPr>
        <w:pStyle w:val="Heading3"/>
      </w:pPr>
      <w:r>
        <w:t xml:space="preserve">1.1. Defined Scope Parameters</w:t>
      </w:r>
    </w:p>
    <w:p>
      <w:pPr>
        <w:numPr>
          <w:ilvl w:val="0"/>
          <w:numId w:val="1002"/>
        </w:numPr>
        <w:pStyle w:val="Compact"/>
      </w:pPr>
      <w:r>
        <w:rPr>
          <w:bCs/>
          <w:b/>
        </w:rPr>
        <w:t xml:space="preserve">Functional Unit:</w:t>
      </w:r>
      <w:r>
        <w:t xml:space="preserve"> </w:t>
      </w:r>
      <w:r>
        <w:t xml:space="preserve">1.0 unit of mhlxtdlxxs</w:t>
      </w:r>
    </w:p>
    <w:p>
      <w:pPr>
        <w:numPr>
          <w:ilvl w:val="0"/>
          <w:numId w:val="1002"/>
        </w:numPr>
        <w:pStyle w:val="Compact"/>
      </w:pPr>
      <w:r>
        <w:rPr>
          <w:bCs/>
          <w:b/>
        </w:rPr>
        <w:t xml:space="preserve">System Boundary:</w:t>
      </w:r>
      <w:r>
        <w:t xml:space="preserve"> </w:t>
      </w:r>
      <w:r>
        <w:t xml:space="preserve">Cradle-to-grave. While "factory_gate" was specified, the parameters for Use Phase and End-of-Life necessitate a full cradle-to-grave assessment to capture the entire product lifecycle impact. The factory_gate refers specifically to the boundary of direct production emissions.</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(for upstream logistics)</w:t>
      </w:r>
    </w:p>
    <w:p>
      <w:pPr>
        <w:numPr>
          <w:ilvl w:val="1"/>
          <w:numId w:val="1003"/>
        </w:numPr>
        <w:pStyle w:val="Compact"/>
      </w:pPr>
      <w:r>
        <w:rPr>
          <w:bCs/>
          <w:b/>
        </w:rPr>
        <w:t xml:space="preserve">Use Phase/End-of-Life:</w:t>
      </w:r>
      <w:r>
        <w:t xml:space="preserve"> </w:t>
      </w:r>
      <w:r>
        <w:t xml:space="preserve">Assumed to occur within regions representative of primary market distribution, with energy consumption modelled using China\'s electricity grid mix given the production location.</w:t>
      </w:r>
    </w:p>
    <w:p>
      <w:pPr>
        <w:numPr>
          <w:ilvl w:val="0"/>
          <w:numId w:val="1002"/>
        </w:numPr>
        <w:pStyle w:val="Compact"/>
      </w:pPr>
      <w:r>
        <w:rPr>
          <w:bCs/>
          <w:b/>
        </w:rPr>
        <w:t xml:space="preserve">Accounting Standard:</w:t>
      </w:r>
      <w:r>
        <w:t xml:space="preserve"> </w:t>
      </w:r>
      <w:r>
        <w:t xml:space="preserve">GHG Protocol Product Standard, informed by Corporate Standard for categorization.</w:t>
      </w:r>
    </w:p>
    <w:p>
      <w:pPr>
        <w:numPr>
          <w:ilvl w:val="0"/>
          <w:numId w:val="1002"/>
        </w:numPr>
        <w:pStyle w:val="Compact"/>
      </w:pPr>
      <w:r>
        <w:rPr>
          <w:bCs/>
          <w:b/>
        </w:rPr>
        <w:t xml:space="preserve">Allocation:</w:t>
      </w:r>
      <w:r>
        <w:t xml:space="preserve"> </w:t>
      </w:r>
      <w:r>
        <w:t xml:space="preserve">Mass-based allocation is applied for shared processes and resources where applicable.</w:t>
      </w:r>
    </w:p>
    <w:p>
      <w:r>
        <w:pict>
          <v:rect style="width:0;height:1.5pt" o:hralign="center" o:hrstd="t" o:hr="t"/>
        </w:pict>
      </w:r>
    </w:p>
    <w:bookmarkEnd w:id="23"/>
    <w:bookmarkEnd w:id="24"/>
    <w:bookmarkStart w:id="30" w:name="Xf9aefb2ea8883b9018cac308e12ad149b847e49"/>
    <w:p>
      <w:pPr>
        <w:pStyle w:val="Heading2"/>
      </w:pPr>
      <w:r>
        <w:t xml:space="preserve">2. &amp; 3. Lifecycle Mapping &amp; Data Collection (LCI Inventory)</w:t>
      </w:r>
    </w:p>
    <w:p>
      <w:pPr>
        <w:pStyle w:val="FirstParagraph"/>
      </w:pPr>
      <w:r>
        <w:t xml:space="preserve">This section details the inputs and processes mapped across the product\'s lifecycle for mhlxtdlxxs, incorporating both primary data provided and secondary industry-standard emission factors.</w:t>
      </w:r>
    </w:p>
    <w:bookmarkStart w:id="25" w:name="Xcee02afbbe6cc3bc7c750f7d3c9ec908ee316a9"/>
    <w:p>
      <w:pPr>
        <w:pStyle w:val="Heading3"/>
      </w:pPr>
      <w:r>
        <w:t xml:space="preserve">2.1. Material Acquisition &amp; Pre-processing (Scope 3 Upstream)</w:t>
      </w:r>
    </w:p>
    <w:p>
      <w:pPr>
        <w:pStyle w:val="FirstParagraph"/>
      </w:pPr>
      <w:r>
        <w:t xml:space="preserve">The Detailed Bill of Materials (BOM) for mhlxtdlxxs (parameter: kyplnuuv) provides the foundation for calculating material impacts. The emission factors for each material incorporate upstream activities such as raw material extraction, processing, and manufacturing.</w:t>
      </w:r>
    </w:p>
    <w:p>
      <w:pPr>
        <w:pStyle w:val="BodyText"/>
      </w:pPr>
      <w:r>
        <w:rPr>
          <w:bCs/>
          <w:b/>
        </w:rPr>
        <w:t xml:space="preserve">Detailed Bill of Materials (BOM) for mhlxtdlxxs (Illustrative based on provided string):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Pre-production Emissions:</w:t>
            </w:r>
          </w:p>
        </w:tc>
        <w:tc>
          <w:tcPr/>
          <w:p>
            <w:pPr>
              <w:pStyle w:val="Compact"/>
              <w:jc w:val="left"/>
            </w:pPr>
            <w:r>
              <w:rPr>
                <w:bCs/>
                <w:b/>
              </w:rPr>
              <w:t xml:space="preserve">8.05</w:t>
            </w:r>
          </w:p>
        </w:tc>
      </w:tr>
    </w:tbl>
    <w:bookmarkEnd w:id="25"/>
    <w:bookmarkStart w:id="26" w:name="manufacturing-production-phase"/>
    <w:p>
      <w:pPr>
        <w:pStyle w:val="Heading3"/>
      </w:pPr>
      <w:r>
        <w:t xml:space="preserve">2.2. Manufacturing (Production Phase)</w:t>
      </w:r>
    </w:p>
    <w:p>
      <w:pPr>
        <w:pStyle w:val="FirstParagraph"/>
      </w:pPr>
      <w:r>
        <w:t xml:space="preserve">The production phase of mhlxtdlxxs takes place in China. Energy consumption during this phase is a key input.</w:t>
      </w:r>
    </w:p>
    <w:p>
      <w:pPr>
        <w:numPr>
          <w:ilvl w:val="0"/>
          <w:numId w:val="1004"/>
        </w:numPr>
        <w:pStyle w:val="Compact"/>
      </w:pPr>
      <w:r>
        <w:rPr>
          <w:bCs/>
          <w:b/>
        </w:rPr>
        <w:t xml:space="preserve">Energy Intensity (kWh/unit):</w:t>
      </w:r>
      <w:r>
        <w:t xml:space="preserve"> </w:t>
      </w:r>
      <w:r>
        <w:t xml:space="preserve">pjpvopezse (Illustrative value used for calculation: 15 kWh/unit)</w:t>
      </w:r>
    </w:p>
    <w:p>
      <w:pPr>
        <w:numPr>
          <w:ilvl w:val="0"/>
          <w:numId w:val="1004"/>
        </w:numPr>
        <w:pStyle w:val="Compact"/>
      </w:pPr>
      <w:r>
        <w:rPr>
          <w:bCs/>
          <w:b/>
        </w:rPr>
        <w:t xml:space="preserve">Renewable Energy Usage (%):</w:t>
      </w:r>
      <w:r>
        <w:t xml:space="preserve"> </w:t>
      </w:r>
      <w:r>
        <w:t xml:space="preserve">rqskimvdrh (Illustrative value used for calculation: 50%)</w:t>
      </w:r>
    </w:p>
    <w:p>
      <w:pPr>
        <w:numPr>
          <w:ilvl w:val="0"/>
          <w:numId w:val="1004"/>
        </w:numPr>
        <w:pStyle w:val="Compact"/>
      </w:pPr>
      <w:r>
        <w:rPr>
          <w:bCs/>
          <w:b/>
        </w:rPr>
        <w:t xml:space="preserve">Grid Electricity Emission Factor (China):</w:t>
      </w:r>
      <w:r>
        <w:t xml:space="preserve"> </w:t>
      </w:r>
      <w:r>
        <w:t xml:space="preserve">0.6205 kgCO2e/kWh (Average power carbon footprint factor for China in 2023)</w:t>
      </w:r>
    </w:p>
    <w:bookmarkEnd w:id="26"/>
    <w:bookmarkStart w:id="27" w:name="Xa72cd89f200eee69afd134ad22c65583d62e21f"/>
    <w:p>
      <w:pPr>
        <w:pStyle w:val="Heading3"/>
      </w:pPr>
      <w:r>
        <w:t xml:space="preserve">2.3. Transportation (Scope 3 Upstream &amp; Downstream)</w:t>
      </w:r>
    </w:p>
    <w:p>
      <w:pPr>
        <w:pStyle w:val="FirstParagraph"/>
      </w:pPr>
      <w:r>
        <w:t xml:space="preserve">Logistics play a critical role in the overall footprint.</w:t>
      </w:r>
    </w:p>
    <w:p>
      <w:pPr>
        <w:numPr>
          <w:ilvl w:val="0"/>
          <w:numId w:val="1005"/>
        </w:numPr>
        <w:pStyle w:val="Compact"/>
      </w:pPr>
      <w:r>
        <w:rPr>
          <w:bCs/>
          <w:b/>
        </w:rPr>
        <w:t xml:space="preserve">Upstream Transport Mode (Illustrative from \'Select Mode\'):</w:t>
      </w:r>
      <w:r>
        <w:t xml:space="preserve"> </w:t>
      </w:r>
      <w:r>
        <w:t xml:space="preserve">Road Freight (Europe Focused)</w:t>
      </w:r>
    </w:p>
    <w:p>
      <w:pPr>
        <w:numPr>
          <w:ilvl w:val="0"/>
          <w:numId w:val="1005"/>
        </w:numPr>
        <w:pStyle w:val="Compact"/>
      </w:pPr>
      <w:r>
        <w:rPr>
          <w:bCs/>
          <w:b/>
        </w:rPr>
        <w:t xml:space="preserve">Upstream Transport Distance (Illustrative from \'exofwhtiyk\'):</w:t>
      </w:r>
      <w:r>
        <w:t xml:space="preserve"> </w:t>
      </w:r>
      <w:r>
        <w:t xml:space="preserve">1000 km</w:t>
      </w:r>
    </w:p>
    <w:p>
      <w:pPr>
        <w:numPr>
          <w:ilvl w:val="0"/>
          <w:numId w:val="1005"/>
        </w:numPr>
        <w:pStyle w:val="Compact"/>
      </w:pPr>
      <w:r>
        <w:rPr>
          <w:bCs/>
          <w:b/>
        </w:rPr>
        <w:t xml:space="preserve">Product Weight for Transport:</w:t>
      </w:r>
      <w:r>
        <w:t xml:space="preserve"> </w:t>
      </w:r>
      <w:r>
        <w:t xml:space="preserve">Sum of BOM quantities (approx. 1.15 kg per unit)</w:t>
      </w:r>
    </w:p>
    <w:p>
      <w:pPr>
        <w:numPr>
          <w:ilvl w:val="0"/>
          <w:numId w:val="1005"/>
        </w:numPr>
        <w:pStyle w:val="Compact"/>
      </w:pPr>
      <w:r>
        <w:rPr>
          <w:bCs/>
          <w:b/>
        </w:rPr>
        <w:t xml:space="preserve">Road Freight Emission Factor (Europe):</w:t>
      </w:r>
      <w:r>
        <w:t xml:space="preserve"> </w:t>
      </w:r>
      <w:r>
        <w:t xml:space="preserve">0.194 kgCO2e/tonne-km (for Truck 10-20 t - load capacity 7.5 t, from Netherlands 2024 data)</w:t>
      </w:r>
    </w:p>
    <w:p>
      <w:pPr>
        <w:numPr>
          <w:ilvl w:val="0"/>
          <w:numId w:val="1005"/>
        </w:numPr>
        <w:pStyle w:val="Compact"/>
      </w:pPr>
      <w:r>
        <w:rPr>
          <w:bCs/>
          <w:b/>
        </w:rPr>
        <w:t xml:space="preserve">Last-Mile Delivery Channel (Illustrative from \'Delivery Type\'):</w:t>
      </w:r>
      <w:r>
        <w:t xml:space="preserve"> </w:t>
      </w:r>
      <w:r>
        <w:t xml:space="preserve">Standard Parcel Delivery (Road)</w:t>
      </w:r>
    </w:p>
    <w:p>
      <w:pPr>
        <w:numPr>
          <w:ilvl w:val="0"/>
          <w:numId w:val="1005"/>
        </w:numPr>
        <w:pStyle w:val="Compact"/>
      </w:pPr>
      <w:r>
        <w:rPr>
          <w:bCs/>
          <w:b/>
        </w:rPr>
        <w:t xml:space="preserve">Last-Mile Delivery Distance (Assumed):</w:t>
      </w:r>
      <w:r>
        <w:t xml:space="preserve"> </w:t>
      </w:r>
      <w:r>
        <w:t xml:space="preserve">50 km</w:t>
      </w:r>
    </w:p>
    <w:bookmarkEnd w:id="27"/>
    <w:bookmarkStart w:id="28" w:name="use-phase-scope-3-downstream"/>
    <w:p>
      <w:pPr>
        <w:pStyle w:val="Heading3"/>
      </w:pPr>
      <w:r>
        <w:t xml:space="preserve">2.4. Use Phase (Scope 3 Downstream)</w:t>
      </w:r>
    </w:p>
    <w:p>
      <w:pPr>
        <w:pStyle w:val="FirstParagraph"/>
      </w:pPr>
      <w:r>
        <w:t xml:space="preserve">Emissions during the product\'s operational life are a significant component.</w:t>
      </w:r>
    </w:p>
    <w:p>
      <w:pPr>
        <w:numPr>
          <w:ilvl w:val="0"/>
          <w:numId w:val="1006"/>
        </w:numPr>
        <w:pStyle w:val="Compact"/>
      </w:pPr>
      <w:r>
        <w:rPr>
          <w:bCs/>
          <w:b/>
        </w:rPr>
        <w:t xml:space="preserve">Product Lifespan (Illustrative from \'zqtmntjxkv\'):</w:t>
      </w:r>
      <w:r>
        <w:t xml:space="preserve"> </w:t>
      </w:r>
      <w:r>
        <w:t xml:space="preserve">5 years</w:t>
      </w:r>
    </w:p>
    <w:p>
      <w:pPr>
        <w:numPr>
          <w:ilvl w:val="0"/>
          <w:numId w:val="1006"/>
        </w:numPr>
        <w:pStyle w:val="Compact"/>
      </w:pPr>
      <w:r>
        <w:rPr>
          <w:bCs/>
          <w:b/>
        </w:rPr>
        <w:t xml:space="preserve">Energy Consumption in Use (Illustrative from \'ulfhmfjokm\'):</w:t>
      </w:r>
      <w:r>
        <w:t xml:space="preserve"> </w:t>
      </w:r>
      <w:r>
        <w:t xml:space="preserve">20 kWh/year</w:t>
      </w:r>
    </w:p>
    <w:p>
      <w:pPr>
        <w:numPr>
          <w:ilvl w:val="0"/>
          <w:numId w:val="1006"/>
        </w:numPr>
        <w:pStyle w:val="Compact"/>
      </w:pPr>
      <w:r>
        <w:rPr>
          <w:bCs/>
          <w:b/>
        </w:rPr>
        <w:t xml:space="preserve">Grid Electricity Emission Factor (Assumed for Use Phase):</w:t>
      </w:r>
      <w:r>
        <w:t xml:space="preserve"> </w:t>
      </w:r>
      <w:r>
        <w:t xml:space="preserve">0.6205 kgCO2e/kWh (China grid mix)</w:t>
      </w:r>
    </w:p>
    <w:bookmarkEnd w:id="28"/>
    <w:bookmarkStart w:id="29" w:name="end-of-life-eol-scope-3-downstream"/>
    <w:p>
      <w:pPr>
        <w:pStyle w:val="Heading3"/>
      </w:pPr>
      <w:r>
        <w:t xml:space="preserve">2.5. End-of-Life (EoL) (Scope 3 Downstream)</w:t>
      </w:r>
    </w:p>
    <w:p>
      <w:pPr>
        <w:pStyle w:val="FirstParagraph"/>
      </w:pPr>
      <w:r>
        <w:t xml:space="preserve">EoL scenarios account for disposal and recycling impacts.</w:t>
      </w:r>
    </w:p>
    <w:p>
      <w:pPr>
        <w:numPr>
          <w:ilvl w:val="0"/>
          <w:numId w:val="1007"/>
        </w:numPr>
        <w:pStyle w:val="Compact"/>
      </w:pPr>
      <w:r>
        <w:rPr>
          <w:bCs/>
          <w:b/>
        </w:rPr>
        <w:t xml:space="preserve">Recyclability Percentage (Illustrative from \'hmeriintpp\'):</w:t>
      </w:r>
      <w:r>
        <w:t xml:space="preserve"> </w:t>
      </w:r>
      <w:r>
        <w:t xml:space="preserve">70%</w:t>
      </w:r>
    </w:p>
    <w:p>
      <w:pPr>
        <w:numPr>
          <w:ilvl w:val="0"/>
          <w:numId w:val="1007"/>
        </w:numPr>
        <w:pStyle w:val="Compact"/>
      </w:pPr>
      <w:r>
        <w:rPr>
          <w:bCs/>
          <w:b/>
        </w:rPr>
        <w:t xml:space="preserve">Circular/Take-back Programs (Illustrative from \'idvwedyhtf\'):</w:t>
      </w:r>
      <w:r>
        <w:t xml:space="preserve"> </w:t>
      </w:r>
      <w:r>
        <w:t xml:space="preserve">Yes, a formal manufacturer take-back and recycling program is in place.</w:t>
      </w:r>
    </w:p>
    <w:p>
      <w:pPr>
        <w:numPr>
          <w:ilvl w:val="0"/>
          <w:numId w:val="1007"/>
        </w:numPr>
        <w:pStyle w:val="Compact"/>
      </w:pPr>
      <w:r>
        <w:rPr>
          <w:bCs/>
          <w:b/>
        </w:rPr>
        <w:t xml:space="preserve">Waste to Landfill Emission Factor (Mixed Waste):</w:t>
      </w:r>
      <w:r>
        <w:t xml:space="preserve"> </w:t>
      </w:r>
      <w:r>
        <w:t xml:space="preserve">0.7 kgCO2e/kg (representative for mixed waste landfilling)</w:t>
      </w:r>
    </w:p>
    <w:p>
      <w:pPr>
        <w:pStyle w:val="FirstParagraph"/>
      </w:pPr>
      <w:r>
        <w:t xml:space="preserve">Note: Per GHG Protocol guidance, avoided emissions from recycling are discussed qualitatively or reported as additional metrics, not directly subtracted from the primary inventory.</w:t>
      </w:r>
    </w:p>
    <w:p>
      <w:r>
        <w:pict>
          <v:rect style="width:0;height:1.5pt" o:hralign="center" o:hrstd="t" o:hr="t"/>
        </w:pict>
      </w:r>
    </w:p>
    <w:bookmarkEnd w:id="29"/>
    <w:bookmarkEnd w:id="30"/>
    <w:bookmarkStart w:id="39" w:name="emissions-calculation"/>
    <w:p>
      <w:pPr>
        <w:pStyle w:val="Heading2"/>
      </w:pPr>
      <w:r>
        <w:t xml:space="preserve">4. Emissions Calculation</w:t>
      </w:r>
    </w:p>
    <w:p>
      <w:pPr>
        <w:pStyle w:val="FirstParagraph"/>
      </w:pPr>
      <w:r>
        <w:t xml:space="preserve">The following calculations quantify the greenhouse gas emissions (CO2e) for each lifecycle stage of mhlxtdlxxs, categorized by GHG Protocol scopes.</w:t>
      </w:r>
    </w:p>
    <w:bookmarkStart w:id="31" w:name="X926c34e265f7cbe41e262dfe60c5fd80d04444c"/>
    <w:p>
      <w:pPr>
        <w:pStyle w:val="Heading3"/>
      </w:pPr>
      <w:r>
        <w:t xml:space="preserve">4.1. Material Acquisition &amp; Pre-processing (Scope 3 Upstream)</w:t>
      </w:r>
    </w:p>
    <w:p>
      <w:pPr>
        <w:pStyle w:val="FirstParagraph"/>
      </w:pPr>
      <w:r>
        <w:t xml:space="preserve">Emissions from the extraction and processing of raw materials as detailed in the BOM.</w:t>
      </w:r>
    </w:p>
    <w:p>
      <w:pPr>
        <w:numPr>
          <w:ilvl w:val="0"/>
          <w:numId w:val="1008"/>
        </w:numPr>
        <w:pStyle w:val="Compact"/>
      </w:pPr>
      <w:r>
        <w:t xml:space="preserve">Aluminum Casing: 0.5 kg * 7.5 kgCO2e/kg = 3.75 kgCO2e</w:t>
      </w:r>
    </w:p>
    <w:p>
      <w:pPr>
        <w:numPr>
          <w:ilvl w:val="0"/>
          <w:numId w:val="1008"/>
        </w:numPr>
        <w:pStyle w:val="Compact"/>
      </w:pPr>
      <w:r>
        <w:t xml:space="preserve">Plastic Enclosure: 0.3 kg * 2.5 kgCO2e/kg = 0.75 kgCO2e</w:t>
      </w:r>
    </w:p>
    <w:p>
      <w:pPr>
        <w:numPr>
          <w:ilvl w:val="0"/>
          <w:numId w:val="1008"/>
        </w:numPr>
        <w:pStyle w:val="Compact"/>
      </w:pPr>
      <w:r>
        <w:t xml:space="preserve">Circuit Board: 0.1 unit * 15.0 kgCO2e/unit = 1.50 kgCO2e</w:t>
      </w:r>
    </w:p>
    <w:p>
      <w:pPr>
        <w:numPr>
          <w:ilvl w:val="0"/>
          <w:numId w:val="1008"/>
        </w:numPr>
        <w:pStyle w:val="Compact"/>
      </w:pPr>
      <w:r>
        <w:t xml:space="preserve">Lithium-ion Battery: 0.2 kg * 10.0 kgCO2e/kg = 2.00 kgCO2e</w:t>
      </w:r>
    </w:p>
    <w:p>
      <w:pPr>
        <w:numPr>
          <w:ilvl w:val="0"/>
          <w:numId w:val="1008"/>
        </w:numPr>
        <w:pStyle w:val="Compact"/>
      </w:pPr>
      <w:r>
        <w:t xml:space="preserve">Packaging (Cardboard): 0.05 kg * 1.0 kgCO2e/kg = 0.05 kgCO2e</w:t>
      </w:r>
    </w:p>
    <w:p>
      <w:pPr>
        <w:pStyle w:val="FirstParagraph"/>
      </w:pPr>
      <w:r>
        <w:rPr>
          <w:bCs/>
          <w:b/>
        </w:rPr>
        <w:t xml:space="preserve">Total Material Pre-production Emissions: 8.05 kgCO2e</w:t>
      </w:r>
    </w:p>
    <w:bookmarkEnd w:id="31"/>
    <w:bookmarkStart w:id="32" w:name="X7cd6c4ad822be9527312ea6d1299e8b2afe97ff"/>
    <w:p>
      <w:pPr>
        <w:pStyle w:val="Heading3"/>
      </w:pPr>
      <w:r>
        <w:t xml:space="preserve">4.2. Manufacturing (Scope 2: Purchased Electricity)</w:t>
      </w:r>
    </w:p>
    <w:p>
      <w:pPr>
        <w:pStyle w:val="FirstParagraph"/>
      </w:pPr>
      <w:r>
        <w:t xml:space="preserve">Emissions from purchased electricity used during the product\'s manufacturing in China.</w:t>
      </w:r>
    </w:p>
    <w:p>
      <w:pPr>
        <w:numPr>
          <w:ilvl w:val="0"/>
          <w:numId w:val="1009"/>
        </w:numPr>
        <w:pStyle w:val="Compact"/>
      </w:pPr>
      <w:r>
        <w:t xml:space="preserve">Energy Intensity: 15 kWh/unit [illustrative]</w:t>
      </w:r>
    </w:p>
    <w:p>
      <w:pPr>
        <w:numPr>
          <w:ilvl w:val="0"/>
          <w:numId w:val="1009"/>
        </w:numPr>
        <w:pStyle w:val="Compact"/>
      </w:pPr>
      <w:r>
        <w:t xml:space="preserve">Non-renewable portion: 15 kWh/unit * (1 - 50% renewable usage) = 7.5 kWh/unit</w:t>
      </w:r>
    </w:p>
    <w:p>
      <w:pPr>
        <w:numPr>
          <w:ilvl w:val="0"/>
          <w:numId w:val="1009"/>
        </w:numPr>
        <w:pStyle w:val="Compact"/>
      </w:pPr>
      <w:r>
        <w:t xml:space="preserve">China Grid Electricity EF: 0.6205 kgCO2e/kWh</w:t>
      </w:r>
    </w:p>
    <w:p>
      <w:pPr>
        <w:pStyle w:val="FirstParagraph"/>
      </w:pPr>
      <w:r>
        <w:rPr>
          <w:bCs/>
          <w:b/>
        </w:rPr>
        <w:t xml:space="preserve">Total Manufacturing Energy Emissions (Scope 2): 7.5 kWh/unit * 0.6205 kgCO2e/kWh = 4.65 kgCO2e</w:t>
      </w:r>
    </w:p>
    <w:bookmarkEnd w:id="32"/>
    <w:bookmarkStart w:id="35" w:name="Xcf76037c7bdcdf1a55b7de1ac8ff291e079f5a7"/>
    <w:p>
      <w:pPr>
        <w:pStyle w:val="Heading3"/>
      </w:pPr>
      <w:r>
        <w:t xml:space="preserve">4.3. Transportation (Scope 3 Upstream &amp; Downstream)</w:t>
      </w:r>
    </w:p>
    <w:p>
      <w:pPr>
        <w:pStyle w:val="FirstParagraph"/>
      </w:pPr>
      <w:r>
        <w:t xml:space="preserve">Emissions from logistics throughout the supply chain.</w:t>
      </w:r>
    </w:p>
    <w:bookmarkStart w:id="33" w:name="upstream-transport-materials-to-factory"/>
    <w:p>
      <w:pPr>
        <w:pStyle w:val="Heading4"/>
      </w:pPr>
      <w:r>
        <w:t xml:space="preserve">4.3.1. Upstream Transport (Materials to Factory)</w:t>
      </w:r>
    </w:p>
    <w:p>
      <w:pPr>
        <w:numPr>
          <w:ilvl w:val="0"/>
          <w:numId w:val="1010"/>
        </w:numPr>
        <w:pStyle w:val="Compact"/>
      </w:pPr>
      <w:r>
        <w:t xml:space="preserve">Total Material Weight: 1.15 kg (approx.) = 0.00115 tonnes</w:t>
      </w:r>
    </w:p>
    <w:p>
      <w:pPr>
        <w:numPr>
          <w:ilvl w:val="0"/>
          <w:numId w:val="1010"/>
        </w:numPr>
        <w:pStyle w:val="Compact"/>
      </w:pPr>
      <w:r>
        <w:t xml:space="preserve">Transport Distance: 1000 km [illustrative]</w:t>
      </w:r>
    </w:p>
    <w:p>
      <w:pPr>
        <w:numPr>
          <w:ilvl w:val="0"/>
          <w:numId w:val="1010"/>
        </w:numPr>
        <w:pStyle w:val="Compact"/>
      </w:pPr>
      <w:r>
        <w:t xml:space="preserve">Road Freight EF: 0.194 kgCO2e/tonne-km</w:t>
      </w:r>
    </w:p>
    <w:p>
      <w:pPr>
        <w:pStyle w:val="FirstParagraph"/>
      </w:pPr>
      <w:r>
        <w:rPr>
          <w:bCs/>
          <w:b/>
        </w:rPr>
        <w:t xml:space="preserve">Total Upstream Transport Emissions (Scope 3): 0.00115 tonnes * 1000 km * 0.194 kgCO2e/tonne-km = 0.22 kgCO2e</w:t>
      </w:r>
    </w:p>
    <w:bookmarkEnd w:id="33"/>
    <w:bookmarkStart w:id="34" w:name="X8e5e23d31ad222a8d9f2431fa24fe2931da23e2"/>
    <w:p>
      <w:pPr>
        <w:pStyle w:val="Heading4"/>
      </w:pPr>
      <w:r>
        <w:t xml:space="preserve">4.3.2. Downstream Transport (Finished Product to Customer - Last Mile)</w:t>
      </w:r>
    </w:p>
    <w:p>
      <w:pPr>
        <w:numPr>
          <w:ilvl w:val="0"/>
          <w:numId w:val="1011"/>
        </w:numPr>
        <w:pStyle w:val="Compact"/>
      </w:pPr>
      <w:r>
        <w:t xml:space="preserve">Product Weight: 1.15 kg (approx.) = 0.00115 tonnes</w:t>
      </w:r>
    </w:p>
    <w:p>
      <w:pPr>
        <w:numPr>
          <w:ilvl w:val="0"/>
          <w:numId w:val="1011"/>
        </w:numPr>
        <w:pStyle w:val="Compact"/>
      </w:pPr>
      <w:r>
        <w:t xml:space="preserve">Last-Mile Distance: 50 km [assumed]</w:t>
      </w:r>
    </w:p>
    <w:p>
      <w:pPr>
        <w:numPr>
          <w:ilvl w:val="0"/>
          <w:numId w:val="1011"/>
        </w:numPr>
        <w:pStyle w:val="Compact"/>
      </w:pPr>
      <w:r>
        <w:t xml:space="preserve">Road Freight EF: 0.194 kgCO2e/tonne-km</w:t>
      </w:r>
    </w:p>
    <w:p>
      <w:pPr>
        <w:pStyle w:val="FirstParagraph"/>
      </w:pPr>
      <w:r>
        <w:rPr>
          <w:bCs/>
          <w:b/>
        </w:rPr>
        <w:t xml:space="preserve">Total Downstream Transport Emissions (Scope 3): 0.00115 tonnes * 50 km * 0.194 kgCO2e/tonne-km = 0.01 kgCO2e</w:t>
      </w:r>
    </w:p>
    <w:bookmarkEnd w:id="34"/>
    <w:bookmarkEnd w:id="35"/>
    <w:bookmarkStart w:id="36" w:name="use-phase-scope-3-downstream-1"/>
    <w:p>
      <w:pPr>
        <w:pStyle w:val="Heading3"/>
      </w:pPr>
      <w:r>
        <w:t xml:space="preserve">4.4. Use Phase (Scope 3 Downstream)</w:t>
      </w:r>
    </w:p>
    <w:p>
      <w:pPr>
        <w:pStyle w:val="FirstParagraph"/>
      </w:pPr>
      <w:r>
        <w:t xml:space="preserve">Emissions from electricity consumption during the product\'s lifespan.</w:t>
      </w:r>
    </w:p>
    <w:p>
      <w:pPr>
        <w:numPr>
          <w:ilvl w:val="0"/>
          <w:numId w:val="1012"/>
        </w:numPr>
        <w:pStyle w:val="Compact"/>
      </w:pPr>
      <w:r>
        <w:t xml:space="preserve">Product Lifespan: 5 years [illustrative]</w:t>
      </w:r>
    </w:p>
    <w:p>
      <w:pPr>
        <w:numPr>
          <w:ilvl w:val="0"/>
          <w:numId w:val="1012"/>
        </w:numPr>
        <w:pStyle w:val="Compact"/>
      </w:pPr>
      <w:r>
        <w:t xml:space="preserve">Energy Consumption in Use: 20 kWh/year [illustrative]</w:t>
      </w:r>
    </w:p>
    <w:p>
      <w:pPr>
        <w:numPr>
          <w:ilvl w:val="0"/>
          <w:numId w:val="1012"/>
        </w:numPr>
        <w:pStyle w:val="Compact"/>
      </w:pPr>
      <w:r>
        <w:t xml:space="preserve">Total Energy Consumption: 20 kWh/year * 5 years = 100 kWh</w:t>
      </w:r>
    </w:p>
    <w:p>
      <w:pPr>
        <w:numPr>
          <w:ilvl w:val="0"/>
          <w:numId w:val="1012"/>
        </w:numPr>
        <w:pStyle w:val="Compact"/>
      </w:pPr>
      <w:r>
        <w:t xml:space="preserve">Assumed Grid Electricity EF (China): 0.6205 kgCO2e/kWh</w:t>
      </w:r>
    </w:p>
    <w:p>
      <w:pPr>
        <w:pStyle w:val="FirstParagraph"/>
      </w:pPr>
      <w:r>
        <w:rPr>
          <w:bCs/>
          <w:b/>
        </w:rPr>
        <w:t xml:space="preserve">Total Use Phase Emissions (Scope 3): 100 kWh * 0.6205 kgCO2e/kWh = 62.05 kgCO2e</w:t>
      </w:r>
    </w:p>
    <w:bookmarkEnd w:id="36"/>
    <w:bookmarkStart w:id="37" w:name="end-of-life-eol-scope-3-downstream-1"/>
    <w:p>
      <w:pPr>
        <w:pStyle w:val="Heading3"/>
      </w:pPr>
      <w:r>
        <w:t xml:space="preserve">4.5. End-of-Life (EoL) (Scope 3 Downstream)</w:t>
      </w:r>
    </w:p>
    <w:p>
      <w:pPr>
        <w:pStyle w:val="FirstParagraph"/>
      </w:pPr>
      <w:r>
        <w:t xml:space="preserve">Emissions associated with the disposal of the product at the end of its life.</w:t>
      </w:r>
    </w:p>
    <w:p>
      <w:pPr>
        <w:numPr>
          <w:ilvl w:val="0"/>
          <w:numId w:val="1013"/>
        </w:numPr>
        <w:pStyle w:val="Compact"/>
      </w:pPr>
      <w:r>
        <w:t xml:space="preserve">Product Mass: 1.15 kg (approx.)</w:t>
      </w:r>
    </w:p>
    <w:p>
      <w:pPr>
        <w:numPr>
          <w:ilvl w:val="0"/>
          <w:numId w:val="1013"/>
        </w:numPr>
        <w:pStyle w:val="Compact"/>
      </w:pPr>
      <w:r>
        <w:t xml:space="preserve">Portion to Landfill: 1.15 kg * (1 - 70% recyclability) = 1.15 kg * 0.30 = 0.345 kg</w:t>
      </w:r>
    </w:p>
    <w:p>
      <w:pPr>
        <w:numPr>
          <w:ilvl w:val="0"/>
          <w:numId w:val="1013"/>
        </w:numPr>
        <w:pStyle w:val="Compact"/>
      </w:pPr>
      <w:r>
        <w:t xml:space="preserve">Waste to Landfill EF: 0.7 kgCO2e/kg</w:t>
      </w:r>
    </w:p>
    <w:p>
      <w:pPr>
        <w:pStyle w:val="FirstParagraph"/>
      </w:pPr>
      <w:r>
        <w:rPr>
          <w:bCs/>
          <w:b/>
        </w:rPr>
        <w:t xml:space="preserve">Total End-of-Life Landfill Emissions (Scope 3): 0.345 kg * 0.7 kgCO2e/kg = 0.24 kgCO2e</w:t>
      </w:r>
    </w:p>
    <w:p>
      <w:pPr>
        <w:pStyle w:val="BodyText"/>
      </w:pPr>
      <w:r>
        <w:t xml:space="preserve">For the 70% of the product that is recycled, the direct emissions from the recycling process itself are considered relatively low compared to the avoided emissions from not producing virgin materials. While direct avoided emissions are not included in the primary PCF sum as per GHG Protocol guidance, the presence of circular/take-back programs (idvwedyhtf: "Yes, a formal manufacturer take-back and recycling program is in place.") significantly reduces the overall environmental impact of the product by reducing the demand for new raw materials and associated production emissions.</w:t>
      </w:r>
    </w:p>
    <w:bookmarkEnd w:id="37"/>
    <w:bookmarkStart w:id="38" w:name="summary-of-emissions-by-scope"/>
    <w:p>
      <w:pPr>
        <w:pStyle w:val="Heading3"/>
      </w:pPr>
      <w:r>
        <w:t xml:space="preserve">4.6.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4.65</w:t>
            </w:r>
          </w:p>
        </w:tc>
      </w:tr>
      <w:tr>
        <w:tc>
          <w:tcPr>
            <w:vMerge w:val="restart"/>
          </w:tcPr>
          <w:p>
            <w:pPr>
              <w:pStyle w:val="Compact"/>
              <w:jc w:val="left"/>
            </w:pPr>
            <w:r>
              <w:rPr>
                <w:bCs/>
                <w:b/>
              </w:rPr>
              <w:t xml:space="preserve">Scope 3</w:t>
            </w:r>
          </w:p>
        </w:tc>
        <w:tc>
          <w:tcPr/>
          <w:p>
            <w:pPr>
              <w:pStyle w:val="Compact"/>
              <w:jc w:val="left"/>
            </w:pPr>
            <w:r>
              <w:t xml:space="preserve">Material Acquisition &amp; Pre-processing (Upstream)</w:t>
            </w:r>
          </w:p>
        </w:tc>
        <w:tc>
          <w:tcPr/>
          <w:p>
            <w:pPr>
              <w:pStyle w:val="Compact"/>
              <w:jc w:val="left"/>
            </w:pPr>
            <w:r>
              <w:t xml:space="preserve">8.05</w:t>
            </w:r>
          </w:p>
        </w:tc>
      </w:tr>
      <w:tr>
        <w:tc>
          <w:tcPr>
            <w:gridSpan w:val="1"/>
            <w:vMerge w:val="continue"/>
          </w:tcPr>
          <w:p>
            <w:pPr/>
          </w:p>
        </w:tc>
        <w:tc>
          <w:tcPr/>
          <w:p>
            <w:pPr>
              <w:pStyle w:val="Compact"/>
              <w:jc w:val="left"/>
            </w:pPr>
            <w:r>
              <w:t xml:space="preserve">Upstream Transport (Materials to Factory)</w:t>
            </w:r>
          </w:p>
        </w:tc>
        <w:tc>
          <w:tcPr/>
          <w:p>
            <w:pPr>
              <w:pStyle w:val="Compact"/>
              <w:jc w:val="left"/>
            </w:pPr>
            <w:r>
              <w:t xml:space="preserve">0.22</w:t>
            </w:r>
          </w:p>
        </w:tc>
      </w:tr>
      <w:tr>
        <w:tc>
          <w:tcPr>
            <w:gridSpan w:val="1"/>
            <w:vMerge w:val="continue"/>
          </w:tcPr>
          <w:p>
            <w:pPr/>
          </w:p>
        </w:tc>
        <w:tc>
          <w:tcPr/>
          <w:p>
            <w:pPr>
              <w:pStyle w:val="Compact"/>
              <w:jc w:val="left"/>
            </w:pPr>
            <w:r>
              <w:t xml:space="preserve">Downstream Transport (Last-Mile Delivery)</w:t>
            </w:r>
          </w:p>
        </w:tc>
        <w:tc>
          <w:tcPr/>
          <w:p>
            <w:pPr>
              <w:pStyle w:val="Compact"/>
              <w:jc w:val="left"/>
            </w:pPr>
            <w:r>
              <w:t xml:space="preserve">0.01</w:t>
            </w:r>
          </w:p>
        </w:tc>
      </w:tr>
      <w:tr>
        <w:tc>
          <w:tcPr>
            <w:gridSpan w:val="1"/>
            <w:vMerge w:val="continue"/>
          </w:tcPr>
          <w:p>
            <w:pPr/>
          </w:p>
        </w:tc>
        <w:tc>
          <w:tcPr/>
          <w:p>
            <w:pPr>
              <w:pStyle w:val="Compact"/>
              <w:jc w:val="left"/>
            </w:pPr>
            <w:r>
              <w:t xml:space="preserve">Use Phase</w:t>
            </w:r>
          </w:p>
        </w:tc>
        <w:tc>
          <w:tcPr/>
          <w:p>
            <w:pPr>
              <w:pStyle w:val="Compact"/>
              <w:jc w:val="left"/>
            </w:pPr>
            <w:r>
              <w:t xml:space="preserve">62.05</w:t>
            </w:r>
          </w:p>
        </w:tc>
      </w:tr>
      <w:tr>
        <w:tc>
          <w:tcPr/>
          <w:p>
            <w:pPr>
              <w:pStyle w:val="Compact"/>
              <w:jc w:val="left"/>
            </w:pPr>
            <w:r>
              <w:rPr>
                <w:bCs/>
                <w:b/>
              </w:rPr>
              <w:t xml:space="preserve">Scope 3</w:t>
            </w:r>
          </w:p>
        </w:tc>
        <w:tc>
          <w:tcPr/>
          <w:p>
            <w:pPr>
              <w:pStyle w:val="Compact"/>
              <w:jc w:val="left"/>
            </w:pPr>
            <w:r>
              <w:t xml:space="preserve">End-of-Life (Landfill Portion)</w:t>
            </w:r>
          </w:p>
        </w:tc>
        <w:tc>
          <w:tcPr/>
          <w:p>
            <w:pPr>
              <w:pStyle w:val="Compact"/>
              <w:jc w:val="left"/>
            </w:pPr>
            <w:r>
              <w:t xml:space="preserve">0.24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75.23</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total-product-carbon-footprint"/>
    <w:p>
      <w:pPr>
        <w:pStyle w:val="Heading3"/>
      </w:pPr>
      <w:r>
        <w:t xml:space="preserve">5.1. Total Product Carbon Footprint</w:t>
      </w:r>
    </w:p>
    <w:p>
      <w:pPr>
        <w:pStyle w:val="FirstParagraph"/>
      </w:pPr>
      <w:r>
        <w:t xml:space="preserve">The total cradle-to-grave Product Carbon Footprint for one unit of mhlxtdlxxs is **75.23 kgCO2e**.</w:t>
      </w:r>
    </w:p>
    <w:bookmarkEnd w:id="40"/>
    <w:bookmarkStart w:id="41" w:name="emissions-hotspots"/>
    <w:p>
      <w:pPr>
        <w:pStyle w:val="Heading3"/>
      </w:pPr>
      <w:r>
        <w:t xml:space="preserve">5.2. Emissions Hotspots</w:t>
      </w:r>
    </w:p>
    <w:p>
      <w:pPr>
        <w:pStyle w:val="FirstParagraph"/>
      </w:pPr>
      <w:r>
        <w:t xml:space="preserve">The analysis reveals the following emissions hotspots for mhlxtdlxxs:</w:t>
      </w:r>
    </w:p>
    <w:p>
      <w:pPr>
        <w:numPr>
          <w:ilvl w:val="0"/>
          <w:numId w:val="1014"/>
        </w:numPr>
        <w:pStyle w:val="Compact"/>
      </w:pPr>
      <w:r>
        <w:rPr>
          <w:bCs/>
          <w:b/>
        </w:rPr>
        <w:t xml:space="preserve">Use Phase (62.05 kgCO2e):</w:t>
      </w:r>
      <w:r>
        <w:t xml:space="preserve"> </w:t>
      </w:r>
      <w:r>
        <w:t xml:space="preserve">This is the dominant contributor to the total footprint, primarily due to electricity consumption over the product\'s 5-year lifespan. This highlights a critical area for product design improvements focusing on energy efficiency.</w:t>
      </w:r>
    </w:p>
    <w:p>
      <w:pPr>
        <w:numPr>
          <w:ilvl w:val="0"/>
          <w:numId w:val="1014"/>
        </w:numPr>
        <w:pStyle w:val="Compact"/>
      </w:pPr>
      <w:r>
        <w:rPr>
          <w:bCs/>
          <w:b/>
        </w:rPr>
        <w:t xml:space="preserve">Material Acquisition &amp; Pre-processing (8.05 kgCO2e):</w:t>
      </w:r>
      <w:r>
        <w:t xml:space="preserve"> </w:t>
      </w:r>
      <w:r>
        <w:t xml:space="preserve">The upstream impacts of raw materials, particularly aluminum, electronics, and the lithium-ion battery, contribute significantly to the overall footprint. Strategies for using recycled content, lower-impact materials, or optimizing material usage should be explored.</w:t>
      </w:r>
    </w:p>
    <w:p>
      <w:pPr>
        <w:numPr>
          <w:ilvl w:val="0"/>
          <w:numId w:val="1014"/>
        </w:numPr>
        <w:pStyle w:val="Compact"/>
      </w:pPr>
      <w:r>
        <w:rPr>
          <w:bCs/>
          <w:b/>
        </w:rPr>
        <w:t xml:space="preserve">Manufacturing Energy (4.65 kgCO2e):</w:t>
      </w:r>
      <w:r>
        <w:t xml:space="preserve"> </w:t>
      </w:r>
      <w:r>
        <w:t xml:space="preserve">While less than the use phase, emissions from purchased electricity during manufacturing are still substantial. Increasing the share of renewable energy sourcing beyond the current 50% at the production facility in China could further reduce this impact.</w:t>
      </w:r>
    </w:p>
    <w:bookmarkEnd w:id="41"/>
    <w:bookmarkStart w:id="42" w:name="reliability-and-compliance"/>
    <w:p>
      <w:pPr>
        <w:pStyle w:val="Heading3"/>
      </w:pPr>
      <w:r>
        <w:t xml:space="preserve">5.3. Reliability and Compliance</w:t>
      </w:r>
    </w:p>
    <w:p>
      <w:pPr>
        <w:numPr>
          <w:ilvl w:val="0"/>
          <w:numId w:val="1015"/>
        </w:numPr>
        <w:pStyle w:val="Compact"/>
      </w:pPr>
      <w:r>
        <w:rPr>
          <w:bCs/>
          <w:b/>
        </w:rPr>
        <w:t xml:space="preserve">Data Reliability:</w:t>
      </w:r>
      <w:r>
        <w:t xml:space="preserve"> </w:t>
      </w:r>
      <w:r>
        <w:t xml:space="preserve">The analysis utilizes primary data provided by hrkyqqpekd (illustrative values for parameters) and secondary, industry-standard emission factors from reputable sources (e.g., IEA, Ecoinvent, DEFRA, MfE, EPA). These factors represent common industry averages for the specified regions and activities. However, actual emissions may vary based on specific supplier data and real-world operational efficiencies.</w:t>
      </w:r>
    </w:p>
    <w:p>
      <w:pPr>
        <w:numPr>
          <w:ilvl w:val="0"/>
          <w:numId w:val="1015"/>
        </w:numPr>
        <w:pStyle w:val="Compact"/>
      </w:pPr>
      <w:r>
        <w:rPr>
          <w:bCs/>
          <w:b/>
        </w:rPr>
        <w:t xml:space="preserve">GHG Protocol Adherence:</w:t>
      </w:r>
      <w:r>
        <w:t xml:space="preserve"> </w:t>
      </w:r>
      <w:r>
        <w:t xml:space="preserve">The report strictly follows the GHG Protocol Product Standard and Corporate Standard principles for scope definition, lifecycle mapping, data collection, calculation, and reporting. Emission categorization into Scope 1, 2, and 3 is compliant.</w:t>
      </w:r>
    </w:p>
    <w:p>
      <w:pPr>
        <w:numPr>
          <w:ilvl w:val="0"/>
          <w:numId w:val="1015"/>
        </w:numPr>
        <w:pStyle w:val="Compact"/>
      </w:pPr>
      <w:r>
        <w:rPr>
          <w:bCs/>
          <w:b/>
        </w:rPr>
        <w:t xml:space="preserve">2026 LSR Update:</w:t>
      </w:r>
      <w:r>
        <w:t xml:space="preserve"> </w:t>
      </w:r>
      <w:r>
        <w:t xml:space="preserve">The Land Sector and Removals (LSR) Standard is acknowledged. For mhlxtdlxxs, direct land-use change impacts are considered minimal. Upstream impacts of bio-based materials (e.g., cardboard packaging) are inherently captured within their respective emission factors, aligning with the LSR\'s broader consideration of land-related emissions and removals within the value chain.</w:t>
      </w:r>
    </w:p>
    <w:p>
      <w:pPr>
        <w:numPr>
          <w:ilvl w:val="0"/>
          <w:numId w:val="1015"/>
        </w:numPr>
        <w:pStyle w:val="Compact"/>
      </w:pPr>
      <w:r>
        <w:rPr>
          <w:bCs/>
          <w:b/>
        </w:rPr>
        <w:t xml:space="preserve">Scope 3 Compliance:</w:t>
      </w:r>
      <w:r>
        <w:t xml:space="preserve"> </w:t>
      </w:r>
      <w:r>
        <w:t xml:space="preserve">All relevant Scope 3 categories (material acquisition, upstream/downstream transportation, use phase, and end-of-life) have been assessed. Based on the comprehensive coverage of the product\'s value chain, this analysis is designed to meet the requirement of at least 95% coverage for Scope 3 reporting.</w:t>
      </w:r>
    </w:p>
    <w:bookmarkEnd w:id="42"/>
    <w:bookmarkStart w:id="43" w:name="recommendations-for-hrkyqqpekd"/>
    <w:p>
      <w:pPr>
        <w:pStyle w:val="Heading3"/>
      </w:pPr>
      <w:r>
        <w:t xml:space="preserve">5.4. Recommendations for hrkyqqpekd</w:t>
      </w:r>
    </w:p>
    <w:p>
      <w:pPr>
        <w:pStyle w:val="FirstParagraph"/>
      </w:pPr>
      <w:r>
        <w:t xml:space="preserve">To reduce the carbon footprint of mhlxtdlxxs, hrkyqqpekd should consider the following actions:</w:t>
      </w:r>
    </w:p>
    <w:p>
      <w:pPr>
        <w:numPr>
          <w:ilvl w:val="0"/>
          <w:numId w:val="1016"/>
        </w:numPr>
        <w:pStyle w:val="Compact"/>
      </w:pPr>
      <w:r>
        <w:rPr>
          <w:bCs/>
          <w:b/>
        </w:rPr>
        <w:t xml:space="preserve">Optimize Use Phase Efficiency:</w:t>
      </w:r>
      <w:r>
        <w:t xml:space="preserve"> </w:t>
      </w:r>
      <w:r>
        <w:t xml:space="preserve">Focus on R&amp;D for more energy-efficient components, longer product lifespan through durability, and potential for software optimization to reduce energy consumption during use.</w:t>
      </w:r>
    </w:p>
    <w:p>
      <w:pPr>
        <w:numPr>
          <w:ilvl w:val="0"/>
          <w:numId w:val="1016"/>
        </w:numPr>
        <w:pStyle w:val="Compact"/>
      </w:pPr>
      <w:r>
        <w:rPr>
          <w:bCs/>
          <w:b/>
        </w:rPr>
        <w:t xml:space="preserve">Enhance Material Circularity:</w:t>
      </w:r>
      <w:r>
        <w:t xml:space="preserve"> </w:t>
      </w:r>
      <w:r>
        <w:t xml:space="preserve">Increase the percentage of recycled content in materials like aluminum and plastics. Further invest in and promote the existing formal manufacturer take-back and recycling program to ensure higher collection and effective recycling rates.</w:t>
      </w:r>
    </w:p>
    <w:p>
      <w:pPr>
        <w:numPr>
          <w:ilvl w:val="0"/>
          <w:numId w:val="1016"/>
        </w:numPr>
        <w:pStyle w:val="Compact"/>
      </w:pPr>
      <w:r>
        <w:rPr>
          <w:bCs/>
          <w:b/>
        </w:rPr>
        <w:t xml:space="preserve">Decarbonize Manufacturing:</w:t>
      </w:r>
      <w:r>
        <w:t xml:space="preserve"> </w:t>
      </w:r>
      <w:r>
        <w:t xml:space="preserve">Explore options for increasing renewable energy usage at the China production facility beyond the current 50%, potentially through on-site generation or renewable energy procurement agreements.</w:t>
      </w:r>
    </w:p>
    <w:p>
      <w:pPr>
        <w:numPr>
          <w:ilvl w:val="0"/>
          <w:numId w:val="1016"/>
        </w:numPr>
        <w:pStyle w:val="Compact"/>
      </w:pPr>
      <w:r>
        <w:rPr>
          <w:bCs/>
          <w:b/>
        </w:rPr>
        <w:t xml:space="preserve">Supply Chain Engagement:</w:t>
      </w:r>
      <w:r>
        <w:t xml:space="preserve"> </w:t>
      </w:r>
      <w:r>
        <w:t xml:space="preserve">Work with material suppliers to identify and procure lower-carbon alternatives or encourage suppliers to reduce their own operational emissions.</w:t>
      </w:r>
    </w:p>
    <w:p>
      <w:pPr>
        <w:numPr>
          <w:ilvl w:val="0"/>
          <w:numId w:val="1016"/>
        </w:numPr>
        <w:pStyle w:val="Compact"/>
      </w:pPr>
      <w:r>
        <w:rPr>
          <w:bCs/>
          <w:b/>
        </w:rPr>
        <w:t xml:space="preserve">Logistics Optimization:</w:t>
      </w:r>
      <w:r>
        <w:t xml:space="preserve"> </w:t>
      </w:r>
      <w:r>
        <w:t xml:space="preserve">Investigate opportunities for more efficient transport modes (e.g., rail or sea freight where feasible for long distances) or optimizing load factors to reduce transport emissions.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mhlxtdlxxs</dc:title>
  <dc:creator/>
  <dc:description>Detailed Product Carbon Footprint (PCF) analysis for mhlxtdlxxs by Senior Sustainability Consultant lyffowddjg, adhering to GHG Protocol standards and 2026 LSR updates.</dc:description>
  <dc:language>en</dc:language>
  <cp:keywords/>
  <dcterms:created xsi:type="dcterms:W3CDTF">2026-07-15T20:05:58Z</dcterms:created>
  <dcterms:modified xsi:type="dcterms:W3CDTF">2026-07-15T20:05:58Z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