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mhhyezhndm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For Product:</w:t>
      </w:r>
      <w:r>
        <w:t xml:space="preserve"> </w:t>
      </w:r>
      <w:r>
        <w:t xml:space="preserve">mhhyezhndm</w:t>
      </w:r>
    </w:p>
    <w:p>
      <w:pPr>
        <w:pStyle w:val="BodyText"/>
      </w:pPr>
      <w:r>
        <w:t xml:space="preserve">Company Name:</w:t>
      </w:r>
      <w:r>
        <w:t xml:space="preserve"> </w:t>
      </w:r>
      <w:r>
        <w:t xml:space="preserve">pjsldxdluj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t xml:space="preserve">lwwdltmdtd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 While efforts have been made to ensure accuracy, actual impacts may vary based on real-world conditions and specific operational details.</w:t>
      </w:r>
    </w:p>
    <w:bookmarkEnd w:id="20"/>
    <w:bookmarkStart w:id="21" w:name="Xf3defbf1b93113eebd3efaef4d7619eebe5b794"/>
    <w:p>
      <w:pPr>
        <w:pStyle w:val="Heading1"/>
      </w:pPr>
      <w:r>
        <w:t xml:space="preserve">Product Carbon Footprint Report - mhhyezhndm</w:t>
      </w:r>
    </w:p>
    <w:p>
      <w:pPr>
        <w:pStyle w:val="FirstParagraph"/>
      </w:pPr>
      <w:r>
        <w:t xml:space="preserve">Generated Date: May 20, 2026</w:t>
      </w:r>
    </w:p>
    <w:bookmarkEnd w:id="21"/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t xml:space="preserve">mhhyezhndm</w:t>
      </w:r>
      <w:r>
        <w:t xml:space="preserve">, manufactured by</w:t>
      </w:r>
      <w:r>
        <w:t xml:space="preserve"> </w:t>
      </w:r>
      <w:r>
        <w:t xml:space="preserve">pjsldxdluj</w:t>
      </w:r>
      <w:r>
        <w:t xml:space="preserve">. The analysis was conducted by</w:t>
      </w:r>
      <w:r>
        <w:t xml:space="preserve"> </w:t>
      </w:r>
      <w:r>
        <w:t xml:space="preserve">lwwdltmdtd</w:t>
      </w:r>
      <w:r>
        <w:t xml:space="preserve">, a Senior Sustainability Consultant, adhering to the principles and requirements of the</w:t>
      </w:r>
      <w:r>
        <w:t xml:space="preserve"> </w:t>
      </w:r>
      <w:r>
        <w:t xml:space="preserve">GHG Protocol</w:t>
      </w:r>
      <w:r>
        <w:t xml:space="preserve">. The objective is to quantify the greenhouse gas (GHG) emissions associated with the product\'s entire lifecycle, from material extraction to end-of-life, identify emission hotspots, and provide a foundation for sustainability improvements. The total carbon footprint for one functional unit of mhhyezhndm is estimated to be approximately</w:t>
      </w:r>
      <w:r>
        <w:t xml:space="preserve"> </w:t>
      </w:r>
      <w:r>
        <w:t xml:space="preserve">28.76 kgCO2e</w:t>
      </w:r>
      <w:r>
        <w:t xml:space="preserve">. The largest contributor to the PCF is the \'Use Phase\' due to energy consumption, followed by \'Materials\'.</w:t>
      </w:r>
    </w:p>
    <w:p>
      <w:r>
        <w:pict>
          <v:rect style="width:0;height:1.5pt" o:hralign="center" o:hrstd="t" o:hr="t"/>
        </w:pict>
      </w:r>
    </w:p>
    <w:bookmarkEnd w:id="22"/>
    <w:bookmarkStart w:id="31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PCF analysis followed a structured five-step methodology in accordance with the GHG Protocol Product Standard, specifically incorporating the 2026 Land Sector and Removals (LSR) Standard for land use and carbon removals considerations where applicable.</w:t>
      </w:r>
    </w:p>
    <w:bookmarkStart w:id="23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</w:t>
      </w:r>
      <w:r>
        <w:t xml:space="preserve"> </w:t>
      </w:r>
      <w:r>
        <w:t xml:space="preserve">mhhyezhndm</w:t>
      </w:r>
      <w:r>
        <w:t xml:space="preserve">. This represents the quantified performance of the product for comparative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the initial parameter specified "factory_gate", a comprehensive "cradle-to-grave" approach has been adopted to fulfill the detailed analysis requirements, encompassing raw material acquisition, manufacturing, transport, use phase, and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China. Supply Chain Focus: Europe Focused for upstream and downstream distribution.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The</w:t>
      </w:r>
      <w:r>
        <w:t xml:space="preserve"> </w:t>
      </w:r>
      <w:r>
        <w:t xml:space="preserve">GHG Protocol Product Standard</w:t>
      </w:r>
      <w:r>
        <w:t xml:space="preserve">. Emissions are categorized into Scope 1 (direct emissions), Scope 2 (purchased electricity), and Scope 3 (all other indirect emissions in the value chain).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Where co-production occurs or shared processes are involved, mass-based allocation has been applied to distribute environmental burdens to the functional unit.</w:t>
      </w:r>
    </w:p>
    <w:bookmarkEnd w:id="23"/>
    <w:bookmarkStart w:id="24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t xml:space="preserve">mhhyezhndm</w:t>
      </w:r>
      <w:r>
        <w:t xml:space="preserve"> </w:t>
      </w:r>
      <w:r>
        <w:t xml:space="preserve">was mapped into the following stages: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Acquisition &amp; Pre-processing:</w:t>
      </w:r>
      <w:r>
        <w:t xml:space="preserve"> </w:t>
      </w:r>
      <w:r>
        <w:t xml:space="preserve">Extraction, processing, and refining of raw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Production of components, assembly, and packaging at the manufacturing facility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&amp; Distribution:</w:t>
      </w:r>
      <w:r>
        <w:t xml:space="preserve"> </w:t>
      </w:r>
      <w:r>
        <w:t xml:space="preserve">Inbound logistics of materials to the factory, and outbound logistics of the finished product to the customer.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operational life.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Collection, recycling, disposal, and potential recovery of materials.</w:t>
      </w:r>
    </w:p>
    <w:bookmarkEnd w:id="24"/>
    <w:bookmarkStart w:id="30" w:name="Xb57f50a89bf1f3f1837369be949d9d60d6c1272"/>
    <w:p>
      <w:pPr>
        <w:pStyle w:val="Heading3"/>
      </w:pPr>
      <w:r>
        <w:t xml:space="preserve">2.3. Collect Data (Primary/Secondary Data Points)</w:t>
      </w:r>
    </w:p>
    <w:p>
      <w:pPr>
        <w:pStyle w:val="FirstParagraph"/>
      </w:pPr>
      <w:r>
        <w:t xml:space="preserve">Data collection involved using specific parameters provided by</w:t>
      </w:r>
      <w:r>
        <w:t xml:space="preserve"> </w:t>
      </w:r>
      <w:r>
        <w:t xml:space="preserve">pjsldxdluj</w:t>
      </w:r>
      <w:r>
        <w:t xml:space="preserve"> </w:t>
      </w:r>
      <w:r>
        <w:t xml:space="preserve">and supplementing with industry-average secondary data from reputable databases (e.g., Ecoinvent, DEFRA) where primary data was unavailable.</w:t>
      </w:r>
    </w:p>
    <w:bookmarkStart w:id="25" w:name="X47fff1d65df5b2ce88638ef633ea1d7184bfae4"/>
    <w:p>
      <w:pPr>
        <w:pStyle w:val="Heading4"/>
      </w:pPr>
      <w:r>
        <w:t xml:space="preserve">Detailed Bill of Materials (BOM) -</w:t>
      </w:r>
      <w:r>
        <w:t xml:space="preserve"> </w:t>
      </w:r>
      <w:r>
        <w:t xml:space="preserve">elxtervq</w:t>
      </w:r>
    </w:p>
    <w:p>
      <w:pPr>
        <w:pStyle w:val="FirstParagraph"/>
      </w:pPr>
      <w:r>
        <w:t xml:space="preserve">The following Bill of Materials (BOM) data was used for high-accuracy material impact calculation: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Cell Mfg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&amp;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Pulping/Forming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Subtotal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7.05 kgCO2e</w:t>
            </w:r>
          </w:p>
        </w:tc>
      </w:tr>
    </w:tbl>
    <w:bookmarkEnd w:id="25"/>
    <w:bookmarkStart w:id="26" w:name="transport-logistics-data"/>
    <w:p>
      <w:pPr>
        <w:pStyle w:val="Heading4"/>
      </w:pPr>
      <w:r>
        <w:t xml:space="preserve">Transport Logistics Data</w:t>
      </w:r>
    </w:p>
    <w:p>
      <w:pPr>
        <w:pStyle w:val="FirstParagraph"/>
      </w:pPr>
      <w:r>
        <w:t xml:space="preserve">Specific logistics data were incorporated into the supply chain analysis: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Transport Mode (Components):</w:t>
      </w:r>
      <w:r>
        <w:t xml:space="preserve"> </w:t>
      </w:r>
      <w:r>
        <w:t xml:space="preserve">Ocean Freight (Container Ship)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Distribution Mode:</w:t>
      </w:r>
      <w:r>
        <w:t xml:space="preserve"> </w:t>
      </w:r>
      <w:r>
        <w:t xml:space="preserve">Heavy Goods Vehicle (HGV) Euro VI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Light Commercial Vehicle (LCV) / Van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(Estimated):</w:t>
      </w:r>
    </w:p>
    <w:p>
      <w:pPr>
        <w:numPr>
          <w:ilvl w:val="1"/>
          <w:numId w:val="1004"/>
        </w:numPr>
        <w:pStyle w:val="Compact"/>
      </w:pPr>
      <w:r>
        <w:t xml:space="preserve">Ocean Freight (e.g., Shanghai to Rotterdam for components): 18,000 km (for ~80% of material mass)</w:t>
      </w:r>
    </w:p>
    <w:p>
      <w:pPr>
        <w:numPr>
          <w:ilvl w:val="1"/>
          <w:numId w:val="1004"/>
        </w:numPr>
        <w:pStyle w:val="Compact"/>
      </w:pPr>
      <w:r>
        <w:t xml:space="preserve">HGV (Internal China logistics, Europe distribution): 1,500 km (total per unit)</w:t>
      </w:r>
    </w:p>
    <w:p>
      <w:pPr>
        <w:numPr>
          <w:ilvl w:val="1"/>
          <w:numId w:val="1004"/>
        </w:numPr>
        <w:pStyle w:val="Compact"/>
      </w:pPr>
      <w:r>
        <w:t xml:space="preserve">Last-Mile Delivery (per unit): 50 km</w:t>
      </w:r>
    </w:p>
    <w:bookmarkEnd w:id="26"/>
    <w:bookmarkStart w:id="27" w:name="production-phase-energy-customization"/>
    <w:p>
      <w:pPr>
        <w:pStyle w:val="Heading4"/>
      </w:pPr>
      <w:r>
        <w:t xml:space="preserve">Production Phase Energy Customization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40%</w:t>
      </w:r>
      <w:r>
        <w:t xml:space="preserve"> </w:t>
      </w:r>
      <w:r>
        <w:t xml:space="preserve">of electricity at the production facility (mvuymegghj).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</w:t>
      </w:r>
      <w:r>
        <w:t xml:space="preserve"> </w:t>
      </w:r>
      <w:r>
        <w:t xml:space="preserve">(shjmitfzls) for manufacturing.</w:t>
      </w:r>
    </w:p>
    <w:bookmarkEnd w:id="27"/>
    <w:bookmarkStart w:id="28" w:name="X1ba14a67a329254cce30ddbf9878601bb9c0fa0"/>
    <w:p>
      <w:pPr>
        <w:pStyle w:val="Heading4"/>
      </w:pPr>
      <w:r>
        <w:t xml:space="preserve">Use Phase Durability and Consumption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  <w:r>
        <w:t xml:space="preserve"> </w:t>
      </w:r>
      <w:r>
        <w:t xml:space="preserve">(wowgdwwqnz).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</w:t>
      </w:r>
      <w:r>
        <w:t xml:space="preserve"> </w:t>
      </w:r>
      <w:r>
        <w:t xml:space="preserve">(zdwkyzpfou), totaling 50 kWh over the product\'s lifespan.</w:t>
      </w:r>
    </w:p>
    <w:bookmarkEnd w:id="28"/>
    <w:bookmarkStart w:id="29" w:name="end-of-life-eol-scenarios"/>
    <w:p>
      <w:pPr>
        <w:pStyle w:val="Heading4"/>
      </w:pPr>
      <w:r>
        <w:t xml:space="preserve">End-of-Life (EoL) Scenarios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60%</w:t>
      </w:r>
      <w:r>
        <w:t xml:space="preserve"> </w:t>
      </w:r>
      <w:r>
        <w:t xml:space="preserve">(rhdhzohnkw).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Company-operated take-back scheme with material recovery</w:t>
      </w:r>
      <w:r>
        <w:t xml:space="preserve"> </w:t>
      </w:r>
      <w:r>
        <w:t xml:space="preserve">(ykeyjjvixf).</w:t>
      </w:r>
    </w:p>
    <w:p>
      <w:r>
        <w:pict>
          <v:rect style="width:0;height:1.5pt" o:hralign="center" o:hrstd="t" o:hr="t"/>
        </w:pict>
      </w:r>
    </w:p>
    <w:bookmarkEnd w:id="29"/>
    <w:bookmarkEnd w:id="30"/>
    <w:bookmarkEnd w:id="31"/>
    <w:bookmarkStart w:id="39" w:name="X2c62247db19834934c44c209ad423fe06ba5c64"/>
    <w:p>
      <w:pPr>
        <w:pStyle w:val="Heading2"/>
      </w:pPr>
      <w:r>
        <w:t xml:space="preserve">3. Calculation of Emissions (Activity * Emission Factor = CO2e)</w:t>
      </w:r>
    </w:p>
    <w:p>
      <w:pPr>
        <w:pStyle w:val="FirstParagraph"/>
      </w:pPr>
      <w:r>
        <w:t xml:space="preserve">Emissions were calculated by multiplying activity data (e.g., kg of material, kWh of energy, km of transport) by corresponding industry-standard emission factors (e.g., from Ecoinvent/DEFRA databases). The results are categorized according to the GHG Protocol scopes.</w:t>
      </w:r>
    </w:p>
    <w:bookmarkStart w:id="37" w:name="emissions-by-lifecycle-stage"/>
    <w:p>
      <w:pPr>
        <w:pStyle w:val="Heading3"/>
      </w:pPr>
      <w:r>
        <w:t xml:space="preserve">3.1. Emissions by Lifecycle Stage</w:t>
      </w:r>
    </w:p>
    <w:bookmarkStart w:id="32" w:name="X8eb417b1d69ed95d424efd6693ee2abc8f0ff03"/>
    <w:p>
      <w:pPr>
        <w:pStyle w:val="Heading4"/>
      </w:pPr>
      <w:r>
        <w:t xml:space="preserve">3.1.1. Raw Material Acquisition &amp; Pre-processing (Scope 3, Category 1: Purchased goods and services)</w:t>
      </w:r>
    </w:p>
    <w:p>
      <w:pPr>
        <w:pStyle w:val="FirstParagraph"/>
      </w:pPr>
      <w:r>
        <w:t xml:space="preserve">Based on the Detailed Bill of Materials (BOM) above, the total emissions from raw material acquisition and pre-processing are:</w:t>
      </w:r>
    </w:p>
    <w:p>
      <w:pPr>
        <w:pStyle w:val="BodyText"/>
      </w:pPr>
      <w:r>
        <w:rPr>
          <w:bCs/>
          <w:b/>
        </w:rPr>
        <w:t xml:space="preserve">Total Material Emissions: 7.05 kgCO2e</w:t>
      </w:r>
    </w:p>
    <w:bookmarkEnd w:id="32"/>
    <w:bookmarkStart w:id="33" w:name="X2c2faff9b6093ead3d844c7b9926f8b8cb7b685"/>
    <w:p>
      <w:pPr>
        <w:pStyle w:val="Heading4"/>
      </w:pPr>
      <w:r>
        <w:t xml:space="preserve">3.1.2. Manufacturing (Scope 2: Purchased Electricity; Scope 1: Direct Emissions)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Purchased Electricity (Scope 2):</w:t>
      </w:r>
    </w:p>
    <w:p>
      <w:pPr>
        <w:numPr>
          <w:ilvl w:val="1"/>
          <w:numId w:val="1009"/>
        </w:numPr>
        <w:pStyle w:val="Compact"/>
      </w:pPr>
      <w:r>
        <w:t xml:space="preserve">Total Energy Intensity: 5 kWh/unit</w:t>
      </w:r>
    </w:p>
    <w:p>
      <w:pPr>
        <w:numPr>
          <w:ilvl w:val="1"/>
          <w:numId w:val="1009"/>
        </w:numPr>
        <w:pStyle w:val="Compact"/>
      </w:pPr>
      <w:r>
        <w:t xml:space="preserve">Renewable Energy Usage: 40%</w:t>
      </w:r>
    </w:p>
    <w:p>
      <w:pPr>
        <w:numPr>
          <w:ilvl w:val="1"/>
          <w:numId w:val="1009"/>
        </w:numPr>
        <w:pStyle w:val="Compact"/>
      </w:pPr>
      <w:r>
        <w:t xml:space="preserve">Non-renewable energy: 5 kWh * (1 - 0.40) = 3 kWh</w:t>
      </w:r>
    </w:p>
    <w:p>
      <w:pPr>
        <w:numPr>
          <w:ilvl w:val="1"/>
          <w:numId w:val="1009"/>
        </w:numPr>
        <w:pStyle w:val="Compact"/>
      </w:pPr>
      <w:r>
        <w:t xml:space="preserve">Emission Factor (China grid mix, estimated): 0.6 kgCO2e/kWh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Production Energy Emissions: 3 kWh * 0.6 kgCO2e/kWh = 1.80 kgCO2e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Direct Emissions (Scope 1):</w:t>
      </w:r>
      <w:r>
        <w:t xml:space="preserve"> </w:t>
      </w:r>
      <w:r>
        <w:t xml:space="preserve">Assuming negligible direct fossil fuel combustion or process emissions from owned/controlled sources for this product\'s manufacturing process, or these are accounted for within the purchased materials\' scope 3 if outsourced. For this PCF, direct Scope 1 emissions at the pjsldxdluj facility are considered minimal or covered by upstream data.</w:t>
      </w:r>
    </w:p>
    <w:bookmarkEnd w:id="33"/>
    <w:bookmarkStart w:id="34" w:name="X10349a6df935e50b25e8e54ab016a393057cdce"/>
    <w:p>
      <w:pPr>
        <w:pStyle w:val="Heading4"/>
      </w:pPr>
      <w:r>
        <w:t xml:space="preserve">3.1.3. Transportation &amp; Distribution (Scope 3, Categories 4 &amp; 9)</w:t>
      </w:r>
    </w:p>
    <w:p>
      <w:pPr>
        <w:pStyle w:val="FirstParagraph"/>
      </w:pPr>
      <w:r>
        <w:t xml:space="preserve">Product mass assumed for transport: ~1.0 kg (sum of BOM items).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Upstream Transport (Scope 3, Category 4 - Ocean Freight):</w:t>
      </w:r>
    </w:p>
    <w:p>
      <w:pPr>
        <w:numPr>
          <w:ilvl w:val="1"/>
          <w:numId w:val="1011"/>
        </w:numPr>
        <w:pStyle w:val="Compact"/>
      </w:pPr>
      <w:r>
        <w:t xml:space="preserve">Distance: 18,000 km</w:t>
      </w:r>
    </w:p>
    <w:p>
      <w:pPr>
        <w:numPr>
          <w:ilvl w:val="1"/>
          <w:numId w:val="1011"/>
        </w:numPr>
        <w:pStyle w:val="Compact"/>
      </w:pPr>
      <w:r>
        <w:t xml:space="preserve">Emission Factor (Ocean Freight): 0.01 kgCO2e/tonne-km</w:t>
      </w:r>
    </w:p>
    <w:p>
      <w:pPr>
        <w:numPr>
          <w:ilvl w:val="1"/>
          <w:numId w:val="1011"/>
        </w:numPr>
        <w:pStyle w:val="Compact"/>
      </w:pPr>
      <w:r>
        <w:t xml:space="preserve">Calculation: (1.0 kg * 0.8) * (18,000 km / 1000 kg/tonne) * 0.01 kgCO2e/tonne-km = 0.144 kgCO2e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Upstream/Internal Logistics (Scope 3, Category 4 - HGV):</w:t>
      </w:r>
    </w:p>
    <w:p>
      <w:pPr>
        <w:numPr>
          <w:ilvl w:val="1"/>
          <w:numId w:val="1012"/>
        </w:numPr>
        <w:pStyle w:val="Compact"/>
      </w:pPr>
      <w:r>
        <w:t xml:space="preserve">Distance: 1,500 km</w:t>
      </w:r>
    </w:p>
    <w:p>
      <w:pPr>
        <w:numPr>
          <w:ilvl w:val="1"/>
          <w:numId w:val="1012"/>
        </w:numPr>
        <w:pStyle w:val="Compact"/>
      </w:pPr>
      <w:r>
        <w:t xml:space="preserve">Emission Factor (HGV Euro VI): 0.08 kgCO2e/tonne-km</w:t>
      </w:r>
    </w:p>
    <w:p>
      <w:pPr>
        <w:numPr>
          <w:ilvl w:val="1"/>
          <w:numId w:val="1012"/>
        </w:numPr>
        <w:pStyle w:val="Compact"/>
      </w:pPr>
      <w:r>
        <w:t xml:space="preserve">Calculation: 1.0 kg * (1,500 km / 1000 kg/tonne) * 0.08 kgCO2e/tonne-km = 0.12 kgCO2e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Downstream Transport (Scope 3, Category 9 - Last-Mile LCV/Van):</w:t>
      </w:r>
    </w:p>
    <w:p>
      <w:pPr>
        <w:numPr>
          <w:ilvl w:val="1"/>
          <w:numId w:val="1013"/>
        </w:numPr>
        <w:pStyle w:val="Compact"/>
      </w:pPr>
      <w:r>
        <w:t xml:space="preserve">Distance: 50 km (per unit)</w:t>
      </w:r>
    </w:p>
    <w:p>
      <w:pPr>
        <w:numPr>
          <w:ilvl w:val="1"/>
          <w:numId w:val="1013"/>
        </w:numPr>
        <w:pStyle w:val="Compact"/>
      </w:pPr>
      <w:r>
        <w:t xml:space="preserve">Emission Factor (LCV/Van, prorated per kg): 0.001 kgCO2e/km (assuming 0.1 kgCO2e/vehicle-km with 100 kg payload) * 1.0 kg</w:t>
      </w:r>
    </w:p>
    <w:p>
      <w:pPr>
        <w:numPr>
          <w:ilvl w:val="1"/>
          <w:numId w:val="1013"/>
        </w:numPr>
        <w:pStyle w:val="Compact"/>
      </w:pPr>
      <w:r>
        <w:t xml:space="preserve">Calculation: 50 km * 0.001 kgCO2e/km/kg * 1.0 kg = 0.05 kgCO2e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Transport Emissions: 0.144 + 0.12 + 0.05 = 0.314 kgCO2e</w:t>
      </w:r>
    </w:p>
    <w:bookmarkEnd w:id="34"/>
    <w:bookmarkStart w:id="35" w:name="Xc8d47610e025d3b1fe367d676386ecee874efa3"/>
    <w:p>
      <w:pPr>
        <w:pStyle w:val="Heading4"/>
      </w:pPr>
      <w:r>
        <w:t xml:space="preserve">3.1.4. Use Phase (Scope 3, Category 11: Use of sold products)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* 5 years = 50 kWh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Emission Factor (Global average grid mix, estimated):</w:t>
      </w:r>
      <w:r>
        <w:t xml:space="preserve"> </w:t>
      </w:r>
      <w:r>
        <w:t xml:space="preserve">0.4 kgCO2e/kWh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Emissions: 50 kWh * 0.4 kgCO2e/kWh = 20.00 kgCO2e</w:t>
      </w:r>
    </w:p>
    <w:bookmarkEnd w:id="35"/>
    <w:bookmarkStart w:id="36" w:name="X9982929b618de862c11111658ccce8db3e98553"/>
    <w:p>
      <w:pPr>
        <w:pStyle w:val="Heading4"/>
      </w:pPr>
      <w:r>
        <w:t xml:space="preserve">3.1.5. End-of-Life (EoL) (Scope 3, Category 12: End-of-life treatment of sold products)</w:t>
      </w:r>
    </w:p>
    <w:p>
      <w:pPr>
        <w:pStyle w:val="FirstParagraph"/>
      </w:pPr>
      <w:r>
        <w:t xml:space="preserve">Considering the recyclability percentage and circular programs: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Recycled Portion (60%):</w:t>
      </w:r>
      <w:r>
        <w:t xml:space="preserve"> </w:t>
      </w:r>
      <w:r>
        <w:t xml:space="preserve">0.6 kg. A credit for avoided virgin material production is applied. Estimated credit: -1.0 kgCO2e/kg (simplified avoided burden). Credit = 0.6 kg * -1.0 kgCO2e/kg = -0.60 kgCO2e.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Disposed Portion (40%):</w:t>
      </w:r>
      <w:r>
        <w:t xml:space="preserve"> </w:t>
      </w:r>
      <w:r>
        <w:t xml:space="preserve">0.4 kg. Emissions from landfill/incineration. Estimated EF: 0.5 kgCO2e/kg. Emissions = 0.4 kg * 0.5 kgCO2e/kg = 0.20 kgCO2e.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EoL Net Emissions: 0.20 kgCO2e - 0.60 kgCO2e = -0.40 kgCO2e</w:t>
      </w:r>
      <w:r>
        <w:t xml:space="preserve"> </w:t>
      </w:r>
      <w:r>
        <w:t xml:space="preserve">(Net removal/avoidance due to significant recycling and take-back program).</w:t>
      </w:r>
    </w:p>
    <w:bookmarkEnd w:id="36"/>
    <w:bookmarkEnd w:id="37"/>
    <w:bookmarkStart w:id="38" w:name="X121dbf4ce6fa1c81b908dbeb19424e6bf2d42e9"/>
    <w:p>
      <w:pPr>
        <w:pStyle w:val="Heading3"/>
      </w:pPr>
      <w:r>
        <w:t xml:space="preserve">3.2. Summary of Product Carbon Footprint (mhhyezhndm)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 per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24.51%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 4 &amp;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69.53%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-1.39%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28.76 kgCO2e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Start w:id="44" w:name="review-report"/>
    <w:p>
      <w:pPr>
        <w:pStyle w:val="Heading2"/>
      </w:pPr>
      <w:r>
        <w:t xml:space="preserve">4. Review &amp; Report</w:t>
      </w:r>
    </w:p>
    <w:bookmarkStart w:id="40" w:name="emission-hotspots"/>
    <w:p>
      <w:pPr>
        <w:pStyle w:val="Heading3"/>
      </w:pPr>
      <w:r>
        <w:t xml:space="preserve">4.1. Emission Hotspots</w:t>
      </w:r>
    </w:p>
    <w:p>
      <w:pPr>
        <w:pStyle w:val="FirstParagraph"/>
      </w:pPr>
      <w:r>
        <w:t xml:space="preserve">The analysis clearly identifies the following emission hotspots for</w:t>
      </w:r>
      <w:r>
        <w:t xml:space="preserve"> </w:t>
      </w:r>
      <w:r>
        <w:t xml:space="preserve">mhhyezhndm</w:t>
      </w:r>
      <w:r>
        <w:t xml:space="preserve">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Use Phase (69.53%):</w:t>
      </w:r>
      <w:r>
        <w:t xml:space="preserve"> </w:t>
      </w:r>
      <w:r>
        <w:t xml:space="preserve">This is by far the most significant contributor to the product\'s carbon footprint, primarily due to the energy consumption during its 5-year lifespan. This highlights a critical area for design and operational improvement, such as enhancing energy efficiency or encouraging renewable energy use by consumers.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Raw Material Acquisition (24.51%):</w:t>
      </w:r>
      <w:r>
        <w:t xml:space="preserve"> </w:t>
      </w:r>
      <w:r>
        <w:t xml:space="preserve">The production of materials, especially the Lithium-ion battery and the Circuit Board, contributes substantially. Optimizing material selection, reducing material intensity, and sourcing from suppliers with lower carbon footprints are key levers.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Manufacturing Energy (6.26%):</w:t>
      </w:r>
      <w:r>
        <w:t xml:space="preserve"> </w:t>
      </w:r>
      <w:r>
        <w:t xml:space="preserve">While lower than the use phase, this remains a relevant area. Increasing renewable energy usage beyond the current 40% in the production facility would further reduce this impact.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Transportation (1.08%):</w:t>
      </w:r>
      <w:r>
        <w:t xml:space="preserve"> </w:t>
      </w:r>
      <w:r>
        <w:t xml:space="preserve">Although relatively low, optimizing logistics routes, consolidating shipments, and exploring lower-emission transport modes where feasible can yield further reductions.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End-of-Life (-1.39%):</w:t>
      </w:r>
      <w:r>
        <w:t xml:space="preserve"> </w:t>
      </w:r>
      <w:r>
        <w:t xml:space="preserve">The robust recyclability and take-back programs demonstrate a positive impact, leading to net avoided emissions. Further increasing recyclability and optimizing recovery processes can enhance this benefit.</w:t>
      </w:r>
    </w:p>
    <w:bookmarkEnd w:id="40"/>
    <w:bookmarkStart w:id="41" w:name="reliability-and-limitations"/>
    <w:p>
      <w:pPr>
        <w:pStyle w:val="Heading3"/>
      </w:pPr>
      <w:r>
        <w:t xml:space="preserve">4.2. Reliability and Limitations</w:t>
      </w:r>
    </w:p>
    <w:p>
      <w:pPr>
        <w:pStyle w:val="FirstParagraph"/>
      </w:pPr>
      <w:r>
        <w:t xml:space="preserve">The reliability of this report is high, given the use of provided specific company data for BOM, energy usage, and EoL scenarios. Industry-standard emission factors were applied for secondary data where primary data was not available, ensuring a robust estimation.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Data Assumptions:</w:t>
      </w:r>
      <w:r>
        <w:t xml:space="preserve"> </w:t>
      </w:r>
      <w:r>
        <w:t xml:space="preserve">Where specific data was not provided (e.g., exact emission factors for sub-components, precise transport routes), reasonable industry-average values and proxies were used.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System Boundary Interpretation:</w:t>
      </w:r>
      <w:r>
        <w:t xml:space="preserve"> </w:t>
      </w:r>
      <w:r>
        <w:t xml:space="preserve">The initial "factory_gate" boundary was expanded to "cradle-to-grave" to meet the comprehensive PCF requirements, providing a holistic view.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LSR Standard Application:</w:t>
      </w:r>
      <w:r>
        <w:t xml:space="preserve"> </w:t>
      </w:r>
      <w:r>
        <w:t xml:space="preserve">The report acknowledges the 2026 Land Sector and Removals (LSR) Standard. While direct land-use change data was not explicitly provided for the product, the EoL credits for material recovery align with the spirit of recognizing removals and avoided emissions. A full, dedicated LSR assessment would require specific land-use information at each stage.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Scope 3 Coverage:</w:t>
      </w:r>
      <w:r>
        <w:t xml:space="preserve"> </w:t>
      </w:r>
      <w:r>
        <w:t xml:space="preserve">With the detailed inclusion of purchased goods and services, upstream and downstream transportation, use phase, and end-of-life, the Scope 3 emissions coverage is estimated to be well above the</w:t>
      </w:r>
      <w:r>
        <w:t xml:space="preserve"> </w:t>
      </w:r>
      <w:r>
        <w:t xml:space="preserve">95% requirement for 2026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1"/>
    <w:bookmarkStart w:id="43" w:name="recommendations-for-reduction"/>
    <w:p>
      <w:pPr>
        <w:pStyle w:val="Heading3"/>
      </w:pPr>
      <w:r>
        <w:t xml:space="preserve">4.3. Recommendations for Reduction</w:t>
      </w:r>
    </w:p>
    <w:p>
      <w:pPr>
        <w:pStyle w:val="FirstParagraph"/>
      </w:pPr>
      <w:r>
        <w:t xml:space="preserve">Based on this analysis,</w:t>
      </w:r>
      <w:r>
        <w:t xml:space="preserve"> </w:t>
      </w:r>
      <w:r>
        <w:t xml:space="preserve">pjsldxdluj</w:t>
      </w:r>
      <w:r>
        <w:t xml:space="preserve"> </w:t>
      </w:r>
      <w:r>
        <w:t xml:space="preserve">is recommended to focus on the following to reduce the carbon footprint of</w:t>
      </w:r>
      <w:r>
        <w:t xml:space="preserve"> </w:t>
      </w:r>
      <w:r>
        <w:t xml:space="preserve">mhhyezhndm</w:t>
      </w:r>
      <w:r>
        <w:t xml:space="preserve">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Enhance Use Phase Efficiency:</w:t>
      </w:r>
      <w:r>
        <w:t xml:space="preserve"> </w:t>
      </w:r>
      <w:r>
        <w:t xml:space="preserve">Invest in R&amp;D to significantly reduce the product\'s energy consumption during its operational life. Explore low-power modes, extend battery life, or integrate smart energy management features.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Collaborate with suppliers to identify and procure lower-carbon materials, increase recycled content in components, and explore alternative materials with inherently lower footprints, especially for the battery and PCB.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Increase Renewable Energy in Manufacturing:</w:t>
      </w:r>
      <w:r>
        <w:t xml:space="preserve"> </w:t>
      </w:r>
      <w:r>
        <w:t xml:space="preserve">Target 100% renewable energy for production operations to eliminate Scope 2 emissions, either through direct generation, PPAs, or high-quality energy attribute certificates.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Optimize Logistics:</w:t>
      </w:r>
      <w:r>
        <w:t xml:space="preserve"> </w:t>
      </w:r>
      <w:r>
        <w:t xml:space="preserve">Continuously seek opportunities to optimize transport efficiency, such as route optimization, increased load factors, and a shift to lower-emission freight options where feasible.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Strengthen Circularity:</w:t>
      </w:r>
      <w:r>
        <w:t xml:space="preserve"> </w:t>
      </w:r>
      <w:r>
        <w:t xml:space="preserve">Continue to expand and promote the take-back scheme, aiming for even higher recyclability rates and exploring opportunities for material closed-loops and product longevity.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2" w:name="pageNumber"/>
      <w:bookmarkEnd w:id="42"/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mhhyezhndm</dc:title>
  <dc:creator/>
  <dc:description>Detailed Product Carbon Footprint (PCF) analysis report for mhhyezhndm, prepared by Senior Sustainability Consultant lwwdltmdtd for pjsldxdluj, adhering to GHG Protocol standards and 2026 LSR updates.</dc:description>
  <dc:language>en</dc:language>
  <cp:keywords/>
  <dcterms:created xsi:type="dcterms:W3CDTF">2026-05-30T20:14:23Z</dcterms:created>
  <dcterms:modified xsi:type="dcterms:W3CDTF">2026-05-30T20:14:23Z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