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mhfivqhxuk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hfivqhxuk"/>
    <w:p>
      <w:pPr>
        <w:pStyle w:val="Heading2"/>
      </w:pPr>
      <w:r>
        <w:t xml:space="preserve">Product: mhfivqhxuk</w:t>
      </w:r>
    </w:p>
    <w:p>
      <w:pPr>
        <w:pStyle w:val="FirstParagraph"/>
      </w:pPr>
      <w:r>
        <w:rPr>
          <w:bCs/>
          <w:b/>
        </w:rPr>
        <w:t xml:space="preserve">Company:</w:t>
      </w:r>
      <w:r>
        <w:t xml:space="preserve"> </w:t>
      </w:r>
      <w:r>
        <w:t xml:space="preserve">vsjpunhhls</w:t>
      </w:r>
    </w:p>
    <w:p>
      <w:pPr>
        <w:pStyle w:val="BodyText"/>
      </w:pPr>
      <w:r>
        <w:rPr>
          <w:bCs/>
          <w:b/>
        </w:rPr>
        <w:t xml:space="preserve">Senior Sustainability Consultant:</w:t>
      </w:r>
      <w:r>
        <w:t xml:space="preserve"> </w:t>
      </w:r>
      <w:r>
        <w:t xml:space="preserve">qplqxidjzq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conditions and further primary data collection could refine these estimations.</w:t>
      </w:r>
    </w:p>
    <w:bookmarkEnd w:id="20"/>
    <w:bookmarkEnd w:id="21"/>
    <w:bookmarkStart w:id="23" w:name="product-carbon-footprint-pcf-report"/>
    <w:p>
      <w:pPr>
        <w:pStyle w:val="Heading1"/>
      </w:pPr>
      <w:r>
        <w:t xml:space="preserve">Product Carbon Footprint (PCF) Report</w:t>
      </w:r>
    </w:p>
    <w:bookmarkStart w:id="22" w:name="product-mhfivqhxuk-1"/>
    <w:p>
      <w:pPr>
        <w:pStyle w:val="Heading3"/>
      </w:pPr>
      <w:r>
        <w:t xml:space="preserve">Product: mhfivqhxuk</w:t>
      </w:r>
    </w:p>
    <w:p>
      <w:pPr>
        <w:pStyle w:val="FirstParagraph"/>
      </w:pPr>
      <w:r>
        <w:rPr>
          <w:bCs/>
          <w:b/>
        </w:rPr>
        <w:t xml:space="preserve">Generated Date:</w:t>
      </w:r>
      <w:r>
        <w:t xml:space="preserve"> </w:t>
      </w:r>
      <w:r>
        <w:t xml:space="preserve">May 22, 2026</w:t>
      </w:r>
    </w:p>
    <w:p>
      <w:pPr>
        <w:pStyle w:val="BodyText"/>
      </w:pPr>
      <w:r>
        <w:rPr>
          <w:bCs/>
          <w:b/>
        </w:rPr>
        <w:t xml:space="preserve">Company:</w:t>
      </w:r>
      <w:r>
        <w:t xml:space="preserve"> </w:t>
      </w:r>
      <w:r>
        <w:t xml:space="preserve">vsjpunhhls</w:t>
      </w:r>
    </w:p>
    <w:p>
      <w:pPr>
        <w:pStyle w:val="BodyText"/>
      </w:pPr>
      <w:r>
        <w:rPr>
          <w:bCs/>
          <w:b/>
        </w:rPr>
        <w:t xml:space="preserve">Senior Sustainability Consultant:</w:t>
      </w:r>
      <w:r>
        <w:t xml:space="preserve"> </w:t>
      </w:r>
      <w:r>
        <w:t xml:space="preserve">qplqxidjzq</w:t>
      </w:r>
    </w:p>
    <w:p>
      <w:r>
        <w:pict>
          <v:rect style="width:0;height:1.5pt" o:hralign="center" o:hrstd="t" o:hr="t"/>
        </w:pict>
      </w:r>
    </w:p>
    <w:bookmarkEnd w:id="22"/>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mhfivqhxuk, manufactured by vsjpunhhls. The analysis adheres to the Greenhouse Gas Protocol (GHG Protocol) for comprehensive and transparent greenhouse gas accounting. The total carbon footprint for one functional unit of mhfivqhxuk, covering its entire lifecycle from raw material acquisition to end-of-life, is estimated at 78.58 kg CO2e. Key emission hotspots have been identified across material acquisition, manufacturing energy, transportation, and the use phase, with significant emissions reductions attributed to robust end-of-life strategies, including high recyclability and circular economy programs. This analysis provides vsjpunhhls with actionable insights to drive decarbonization efforts for mhfivqhxuk.</w:t>
      </w:r>
    </w:p>
    <w:p>
      <w:r>
        <w:pict>
          <v:rect style="width:0;height:1.5pt" o:hralign="center" o:hrstd="t" o:hr="t"/>
        </w:pict>
      </w:r>
    </w:p>
    <w:bookmarkEnd w:id="24"/>
    <w:bookmarkStart w:id="25" w:name="scope-definition"/>
    <w:p>
      <w:pPr>
        <w:pStyle w:val="Heading2"/>
      </w:pPr>
      <w:r>
        <w:t xml:space="preserve">1. Scope Definition</w:t>
      </w:r>
    </w:p>
    <w:p>
      <w:pPr>
        <w:pStyle w:val="FirstParagraph"/>
      </w:pPr>
      <w:r>
        <w:t xml:space="preserve">The first step in calculating the Product Carbon Footprint (PCF) involves clearly defining the scope of the analysis, which ensures consistency and comparability of results.</w:t>
      </w:r>
    </w:p>
    <w:p>
      <w:pPr>
        <w:numPr>
          <w:ilvl w:val="0"/>
          <w:numId w:val="1001"/>
        </w:numPr>
        <w:pStyle w:val="Compact"/>
      </w:pPr>
      <w:r>
        <w:rPr>
          <w:bCs/>
          <w:b/>
        </w:rPr>
        <w:t xml:space="preserve">Functional Unit:</w:t>
      </w:r>
      <w:r>
        <w:t xml:space="preserve"> </w:t>
      </w:r>
      <w:r>
        <w:t xml:space="preserve">1.0 unit of mhfivqhxuk. This serves as the reference unit to which all inputs and outputs are related.</w:t>
      </w:r>
    </w:p>
    <w:p>
      <w:pPr>
        <w:numPr>
          <w:ilvl w:val="0"/>
          <w:numId w:val="1001"/>
        </w:numPr>
        <w:pStyle w:val="Compact"/>
      </w:pPr>
      <w:r>
        <w:rPr>
          <w:bCs/>
          <w:b/>
        </w:rPr>
        <w:t xml:space="preserve">System Boundary:</w:t>
      </w:r>
      <w:r>
        <w:t xml:space="preserve"> </w:t>
      </w:r>
      <w:r>
        <w:t xml:space="preserve">Cradle-to-grave, with a focus on \'factory_gate\' for direct manufacturing operations. This includes raw material extraction, processing, manufacturing, transport to customer, the product\'s use phase, and its end-of-life treatment. While the \'factory_gate\' specifies the boundary for direct operational control, a complete PCF necessitates evaluating upstream and downstream impacts in the value chain.</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materials may originate from Europe, be transported to China for final assembly, and then the finished product distributed, potentially back to Europe.</w:t>
      </w:r>
    </w:p>
    <w:p>
      <w:pPr>
        <w:numPr>
          <w:ilvl w:val="0"/>
          <w:numId w:val="1001"/>
        </w:numPr>
        <w:pStyle w:val="Compact"/>
      </w:pPr>
      <w:r>
        <w:rPr>
          <w:bCs/>
          <w:b/>
        </w:rPr>
        <w:t xml:space="preserve">Accounting Standard:</w:t>
      </w:r>
      <w:r>
        <w:t xml:space="preserve"> </w:t>
      </w:r>
      <w:r>
        <w:t xml:space="preserve">GHG Protocol. This internationally recognized standard guides the quantification and reporting of greenhouse gas emissions.</w:t>
      </w:r>
    </w:p>
    <w:p>
      <w:pPr>
        <w:numPr>
          <w:ilvl w:val="0"/>
          <w:numId w:val="1001"/>
        </w:numPr>
        <w:pStyle w:val="Compact"/>
      </w:pPr>
      <w:r>
        <w:rPr>
          <w:bCs/>
          <w:b/>
        </w:rPr>
        <w:t xml:space="preserve">Allocation:</w:t>
      </w:r>
      <w:r>
        <w:t xml:space="preserve"> </w:t>
      </w:r>
      <w:r>
        <w:t xml:space="preserve">Given this is a single product PCF, direct allocation of emissions to the functional unit is applied. Should co-products or by-products exist, allocation methods would be carefully chosen according to GHG Protocol guidance (e.g., mass or economic allocation) to avoid double counting.</w:t>
      </w:r>
    </w:p>
    <w:p>
      <w:r>
        <w:pict>
          <v:rect style="width:0;height:1.5pt" o:hralign="center" o:hrstd="t" o:hr="t"/>
        </w:pict>
      </w:r>
    </w:p>
    <w:bookmarkEnd w:id="25"/>
    <w:bookmarkStart w:id="31" w:name="lifecycle-mapping-3.-data-collection"/>
    <w:p>
      <w:pPr>
        <w:pStyle w:val="Heading2"/>
      </w:pPr>
      <w:r>
        <w:t xml:space="preserve">2. Lifecycle Mapping &amp; 3. Data Collection</w:t>
      </w:r>
    </w:p>
    <w:p>
      <w:pPr>
        <w:pStyle w:val="FirstParagraph"/>
      </w:pPr>
      <w:r>
        <w:t xml:space="preserve">The lifecycle of mhfivqhxuk has been mapped, and relevant data points collected, incorporating both primary data provided by vsjpunhhls and secondary industry-standard emission factors.</w:t>
      </w:r>
    </w:p>
    <w:bookmarkStart w:id="26" w:name="X5abefa6bdc8f43648c572c8cc5f8c61dbad9986"/>
    <w:p>
      <w:pPr>
        <w:pStyle w:val="Heading3"/>
      </w:pPr>
      <w:r>
        <w:t xml:space="preserve">Detailed Bill of Materials (BOM) &amp; Material Impact (Scope 3, Category 1: Purchased Goods and Services)</w:t>
      </w:r>
    </w:p>
    <w:p>
      <w:pPr>
        <w:pStyle w:val="FirstParagraph"/>
      </w:pPr>
      <w:r>
        <w:t xml:space="preserve">The provided Detailed Bill of Materials (BOM) for mhfivqhxuk is crucial for a high-accuracy material impact calculation. The total weight of one unit of mhfivqhxuk is 17.7 kg.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Melting</w:t>
            </w:r>
          </w:p>
        </w:tc>
        <w:tc>
          <w:tcPr/>
          <w:p>
            <w:pPr>
              <w:pStyle w:val="Compact"/>
              <w:jc w:val="left"/>
            </w:pPr>
            <w:r>
              <w:t xml:space="preserve">10 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 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Electronics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0.5 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w:t>
            </w:r>
          </w:p>
        </w:tc>
      </w:tr>
      <w:tr>
        <w:tc>
          <w:tcPr>
            <w:gridSpan w:val="6"/>
          </w:tcPr>
          <w:p>
            <w:pPr>
              <w:pStyle w:val="Compact"/>
              <w:jc w:val="right"/>
            </w:pPr>
            <w:r>
              <w:rPr>
                <w:bCs/>
                <w:b/>
              </w:rPr>
              <w:t xml:space="preserve">Total Material Acquisition &amp; Processing Emissions:</w:t>
            </w:r>
          </w:p>
        </w:tc>
        <w:tc>
          <w:tcPr/>
          <w:p>
            <w:pPr>
              <w:pStyle w:val="Compact"/>
              <w:jc w:val="left"/>
            </w:pPr>
            <w:r>
              <w:rPr>
                <w:bCs/>
                <w:b/>
              </w:rPr>
              <w:t xml:space="preserve">57.7 kg CO2e</w:t>
            </w:r>
          </w:p>
        </w:tc>
      </w:tr>
    </w:tbl>
    <w:p>
      <w:pPr>
        <w:pStyle w:val="BodyText"/>
      </w:pPr>
      <w:r>
        <w:rPr>
          <w:iCs/>
          <w:i/>
        </w:rPr>
        <w:t xml:space="preserve">Note: The \'Emission Factor\' and \'Total Carbon\' values were directly provided in the BOM and used as stated for calculation. These factors are considered cradle-to-gate for material production.</w:t>
      </w:r>
    </w:p>
    <w:bookmarkEnd w:id="26"/>
    <w:bookmarkStart w:id="27" w:name="X8a485fef91ab087e2442ba21064585810a2e108"/>
    <w:p>
      <w:pPr>
        <w:pStyle w:val="Heading3"/>
      </w:pPr>
      <w:r>
        <w:t xml:space="preserve">Manufacturing Energy Inputs (Scope 2: Purchased Electricity)</w:t>
      </w:r>
    </w:p>
    <w:p>
      <w:pPr>
        <w:numPr>
          <w:ilvl w:val="0"/>
          <w:numId w:val="1002"/>
        </w:numPr>
        <w:pStyle w:val="Compact"/>
      </w:pPr>
      <w:r>
        <w:rPr>
          <w:bCs/>
          <w:b/>
        </w:rPr>
        <w:t xml:space="preserve">Energy Intensity (kWh/unit):</w:t>
      </w:r>
      <w:r>
        <w:t xml:space="preserve"> </w:t>
      </w:r>
      <w:r>
        <w:t xml:space="preserve">xkwvvdtxmz (20 kWh/unit)</w:t>
      </w:r>
    </w:p>
    <w:p>
      <w:pPr>
        <w:numPr>
          <w:ilvl w:val="0"/>
          <w:numId w:val="1002"/>
        </w:numPr>
        <w:pStyle w:val="Compact"/>
      </w:pPr>
      <w:r>
        <w:rPr>
          <w:bCs/>
          <w:b/>
        </w:rPr>
        <w:t xml:space="preserve">Renewable Energy Usage:</w:t>
      </w:r>
      <w:r>
        <w:t xml:space="preserve"> </w:t>
      </w:r>
      <w:r>
        <w:t xml:space="preserve">rhrrpednkw (50%)</w:t>
      </w:r>
    </w:p>
    <w:p>
      <w:pPr>
        <w:numPr>
          <w:ilvl w:val="0"/>
          <w:numId w:val="1002"/>
        </w:numPr>
        <w:pStyle w:val="Compact"/>
      </w:pPr>
      <w:r>
        <w:rPr>
          <w:bCs/>
          <w:b/>
        </w:rPr>
        <w:t xml:space="preserve">Non-Renewable Energy Usage:</w:t>
      </w:r>
      <w:r>
        <w:t xml:space="preserve"> </w:t>
      </w:r>
      <w:r>
        <w:t xml:space="preserve">10 kWh/unit (50% of 20 kWh)</w:t>
      </w:r>
    </w:p>
    <w:p>
      <w:pPr>
        <w:numPr>
          <w:ilvl w:val="0"/>
          <w:numId w:val="1002"/>
        </w:numPr>
        <w:pStyle w:val="Compact"/>
      </w:pPr>
      <w:r>
        <w:rPr>
          <w:bCs/>
          <w:b/>
        </w:rPr>
        <w:t xml:space="preserve">Assumed China Grid Electricity Emission Factor:</w:t>
      </w:r>
      <w:r>
        <w:t xml:space="preserve"> </w:t>
      </w:r>
      <w:r>
        <w:t xml:space="preserve">0.60 kg CO2e/kWh. This factor is based on typical values for the Chinese electricity grid, which is still significantly reliant on fossil fuels.</w:t>
      </w:r>
    </w:p>
    <w:bookmarkEnd w:id="27"/>
    <w:bookmarkStart w:id="28" w:name="X895361c8929ad9c272a0762e89fa48b24a6507e"/>
    <w:p>
      <w:pPr>
        <w:pStyle w:val="Heading3"/>
      </w:pPr>
      <w:r>
        <w:t xml:space="preserve">Logistics Data (Scope 3, Category 4 &amp; 9: Transportation and Distribution)</w:t>
      </w:r>
    </w:p>
    <w:p>
      <w:pPr>
        <w:pStyle w:val="FirstParagraph"/>
      </w:pPr>
      <w:r>
        <w:t xml:space="preserve">The supply chain focuses on Europe for materials and China for final production, with distribution to a global or European market. The product weight is approximately 17.7 kg.</w:t>
      </w:r>
    </w:p>
    <w:p>
      <w:pPr>
        <w:numPr>
          <w:ilvl w:val="0"/>
          <w:numId w:val="1003"/>
        </w:numPr>
        <w:pStyle w:val="Compact"/>
      </w:pPr>
      <w:r>
        <w:rPr>
          <w:bCs/>
          <w:b/>
        </w:rPr>
        <w:t xml:space="preserve">Transport Mode (Upstream - Materials to Factory):</w:t>
      </w:r>
      <w:r>
        <w:t xml:space="preserve"> </w:t>
      </w:r>
      <w:r>
        <w:t xml:space="preserve">Primarily Ocean Freight (Europe to China) and Road Freight (within Europe and within China).</w:t>
      </w:r>
    </w:p>
    <w:p>
      <w:pPr>
        <w:numPr>
          <w:ilvl w:val="0"/>
          <w:numId w:val="1003"/>
        </w:numPr>
        <w:pStyle w:val="Compact"/>
      </w:pPr>
      <w:r>
        <w:rPr>
          <w:bCs/>
          <w:b/>
        </w:rPr>
        <w:t xml:space="preserve">Transport Mode (Downstream - Factory to Customer):</w:t>
      </w:r>
      <w:r>
        <w:t xml:space="preserve"> </w:t>
      </w:r>
      <w:r>
        <w:t xml:space="preserve">Primarily Ocean Freight (China to Europe) and Road Freight (Europe to Distribution Center).</w:t>
      </w:r>
    </w:p>
    <w:p>
      <w:pPr>
        <w:numPr>
          <w:ilvl w:val="0"/>
          <w:numId w:val="1003"/>
        </w:numPr>
        <w:pStyle w:val="Compact"/>
      </w:pPr>
      <w:r>
        <w:rPr>
          <w:bCs/>
          <w:b/>
        </w:rPr>
        <w:t xml:space="preserve">Last-Mile Delivery Channel:</w:t>
      </w:r>
      <w:r>
        <w:t xml:space="preserve"> </w:t>
      </w:r>
      <w:r>
        <w:t xml:space="preserve">Delivery Type (Standard Parcel Delivery by Van).</w:t>
      </w:r>
    </w:p>
    <w:p>
      <w:pPr>
        <w:numPr>
          <w:ilvl w:val="0"/>
          <w:numId w:val="1003"/>
        </w:numPr>
        <w:pStyle w:val="Compact"/>
      </w:pPr>
      <w:r>
        <w:rPr>
          <w:bCs/>
          <w:b/>
        </w:rPr>
        <w:t xml:space="preserve">Transport Distance (rtogsvljej):</w:t>
      </w:r>
      <w:r>
        <w:t xml:space="preserve"> </w:t>
      </w:r>
      <w:r>
        <w:t xml:space="preserve">15,000 km for the primary ocean freight leg from China to Europe. Other distances are estimated based on typical logistics flows.</w:t>
      </w:r>
    </w:p>
    <w:p>
      <w:pPr>
        <w:pStyle w:val="FirstParagraph"/>
      </w:pPr>
      <w:r>
        <w:rPr>
          <w:iCs/>
          <w:i/>
        </w:rPr>
        <w:t xml:space="preserve">Assumed Transport Emission Factors:</w:t>
      </w:r>
    </w:p>
    <w:p>
      <w:pPr>
        <w:numPr>
          <w:ilvl w:val="0"/>
          <w:numId w:val="1004"/>
        </w:numPr>
        <w:pStyle w:val="Compact"/>
      </w:pPr>
      <w:r>
        <w:t xml:space="preserve">Ocean Freight (Container Ship): 0.016 kg CO2e/tonne-km.</w:t>
      </w:r>
    </w:p>
    <w:p>
      <w:pPr>
        <w:numPr>
          <w:ilvl w:val="0"/>
          <w:numId w:val="1004"/>
        </w:numPr>
        <w:pStyle w:val="Compact"/>
      </w:pPr>
      <w:r>
        <w:t xml:space="preserve">Road Freight (Heavy Duty Truck - for larger legs): 0.1 kg CO2e/tonne-km.</w:t>
      </w:r>
    </w:p>
    <w:p>
      <w:pPr>
        <w:numPr>
          <w:ilvl w:val="0"/>
          <w:numId w:val="1004"/>
        </w:numPr>
        <w:pStyle w:val="Compact"/>
      </w:pPr>
      <w:r>
        <w:t xml:space="preserve">Road Freight (Light Commercial Vehicle - for last mile): 0.3 kg CO2e/tonne-km (higher due to smaller loads and urban delivery patterns).</w:t>
      </w:r>
    </w:p>
    <w:bookmarkEnd w:id="28"/>
    <w:bookmarkStart w:id="29" w:name="X9c47a088dc2010630d22d37d8f68ea322772e33"/>
    <w:p>
      <w:pPr>
        <w:pStyle w:val="Heading3"/>
      </w:pPr>
      <w:r>
        <w:t xml:space="preserve">Use Phase Data (Scope 3, Category 11: Use of Sold Products)</w:t>
      </w:r>
    </w:p>
    <w:p>
      <w:pPr>
        <w:numPr>
          <w:ilvl w:val="0"/>
          <w:numId w:val="1005"/>
        </w:numPr>
        <w:pStyle w:val="Compact"/>
      </w:pPr>
      <w:r>
        <w:rPr>
          <w:bCs/>
          <w:b/>
        </w:rPr>
        <w:t xml:space="preserve">Product Lifespan:</w:t>
      </w:r>
      <w:r>
        <w:t xml:space="preserve"> </w:t>
      </w:r>
      <w:r>
        <w:t xml:space="preserve">ksvukwdowl (7 years)</w:t>
      </w:r>
    </w:p>
    <w:p>
      <w:pPr>
        <w:numPr>
          <w:ilvl w:val="0"/>
          <w:numId w:val="1005"/>
        </w:numPr>
        <w:pStyle w:val="Compact"/>
      </w:pPr>
      <w:r>
        <w:rPr>
          <w:bCs/>
          <w:b/>
        </w:rPr>
        <w:t xml:space="preserve">Energy Consumption in Use:</w:t>
      </w:r>
      <w:r>
        <w:t xml:space="preserve"> </w:t>
      </w:r>
      <w:r>
        <w:t xml:space="preserve">ifspvekdnk (15 kWh/year)</w:t>
      </w:r>
    </w:p>
    <w:p>
      <w:pPr>
        <w:numPr>
          <w:ilvl w:val="0"/>
          <w:numId w:val="1005"/>
        </w:numPr>
        <w:pStyle w:val="Compact"/>
      </w:pPr>
      <w:r>
        <w:rPr>
          <w:bCs/>
          <w:b/>
        </w:rPr>
        <w:t xml:space="preserve">Assumed European Grid Electricity Emission Factor (for use phase):</w:t>
      </w:r>
      <w:r>
        <w:t xml:space="preserve"> </w:t>
      </w:r>
      <w:r>
        <w:t xml:space="preserve">0.25 kg CO2e/kWh (as products are often used in Europe, this represents a typical grid mix).</w:t>
      </w:r>
    </w:p>
    <w:bookmarkEnd w:id="29"/>
    <w:bookmarkStart w:id="30" w:name="X22f9dae0edae5a4ebf0dcf5b8ca74de2c6ea5a4"/>
    <w:p>
      <w:pPr>
        <w:pStyle w:val="Heading3"/>
      </w:pPr>
      <w:r>
        <w:t xml:space="preserve">End-of-Life (EoL) Scenarios (Scope 3, Category 12: End-of-Life Treatment of Sold Products)</w:t>
      </w:r>
    </w:p>
    <w:p>
      <w:pPr>
        <w:numPr>
          <w:ilvl w:val="0"/>
          <w:numId w:val="1006"/>
        </w:numPr>
        <w:pStyle w:val="Compact"/>
      </w:pPr>
      <w:r>
        <w:rPr>
          <w:bCs/>
          <w:b/>
        </w:rPr>
        <w:t xml:space="preserve">Recyclability Percentage:</w:t>
      </w:r>
      <w:r>
        <w:t xml:space="preserve"> </w:t>
      </w:r>
      <w:r>
        <w:t xml:space="preserve">pykexyziep (75%)</w:t>
      </w:r>
    </w:p>
    <w:p>
      <w:pPr>
        <w:numPr>
          <w:ilvl w:val="0"/>
          <w:numId w:val="1006"/>
        </w:numPr>
        <w:pStyle w:val="Compact"/>
      </w:pPr>
      <w:r>
        <w:rPr>
          <w:bCs/>
          <w:b/>
        </w:rPr>
        <w:t xml:space="preserve">Circular/Take-back Programs:</w:t>
      </w:r>
      <w:r>
        <w:t xml:space="preserve"> </w:t>
      </w:r>
      <w:r>
        <w:t xml:space="preserve">yzvqykskde (Active product take-back and refurbishment program). These programs aim to extend product life and maximize material recovery, leading to avoided emissions.</w:t>
      </w:r>
    </w:p>
    <w:p>
      <w:r>
        <w:pict>
          <v:rect style="width:0;height:1.5pt" o:hralign="center" o:hrstd="t" o:hr="t"/>
        </w:pict>
      </w:r>
    </w:p>
    <w:bookmarkEnd w:id="30"/>
    <w:bookmarkEnd w:id="31"/>
    <w:bookmarkStart w:id="41" w:name="emissions-calculation"/>
    <w:p>
      <w:pPr>
        <w:pStyle w:val="Heading2"/>
      </w:pPr>
      <w:r>
        <w:t xml:space="preserve">4. Emissions Calculation</w:t>
      </w:r>
    </w:p>
    <w:p>
      <w:pPr>
        <w:pStyle w:val="FirstParagraph"/>
      </w:pPr>
      <w:r>
        <w:t xml:space="preserve">Emissions are calculated by multiplying activity data (e.g., kg of material, kWh of energy, tonne-km of transport) by their respective emission factors.</w:t>
      </w:r>
    </w:p>
    <w:bookmarkStart w:id="39" w:name="categorization-by-ghg-protocol-scopes"/>
    <w:p>
      <w:pPr>
        <w:pStyle w:val="Heading3"/>
      </w:pPr>
      <w:r>
        <w:t xml:space="preserve">Categorization by GHG Protocol Scopes</w:t>
      </w:r>
    </w:p>
    <w:p>
      <w:pPr>
        <w:pStyle w:val="FirstParagraph"/>
      </w:pPr>
      <w:r>
        <w:t xml:space="preserve">Emissions are categorized into Scope 1 (direct emissions), Scope 2 (indirect emissions from purchased energy), and Scope 3 (all other indirect emissions in the value chain).</w:t>
      </w:r>
    </w:p>
    <w:bookmarkStart w:id="32" w:name="X5ec55329539bfbad669cd1b657e79970c93e874"/>
    <w:p>
      <w:pPr>
        <w:pStyle w:val="Heading4"/>
      </w:pPr>
      <w:r>
        <w:t xml:space="preserve">4.1. Scope 1 Emissions (Direct Emissions from vsjpunhhls Operations)</w:t>
      </w:r>
    </w:p>
    <w:p>
      <w:pPr>
        <w:pStyle w:val="FirstParagraph"/>
      </w:pPr>
      <w:r>
        <w:t xml:space="preserve">For a product-level assessment with the given parameters, direct Scope 1 emissions from vsjpunhhls\'s owned or controlled sources (e.g., on-site fuel combustion for manufacturing) are assumed to be negligible or captured within upstream material/energy factors for this high-level analysis, unless specific fuel consumption data is provided. In a detailed corporate inventory, these would include emissions from company vehicles or stationary combustion. For the functional unit, we attribute</w:t>
      </w:r>
      <w:r>
        <w:t xml:space="preserve"> </w:t>
      </w:r>
      <w:r>
        <w:rPr>
          <w:bCs/>
          <w:b/>
        </w:rPr>
        <w:t xml:space="preserve">0.0 kg CO2e</w:t>
      </w:r>
      <w:r>
        <w:t xml:space="preserve"> </w:t>
      </w:r>
      <w:r>
        <w:t xml:space="preserve">directly to Scope 1.</w:t>
      </w:r>
    </w:p>
    <w:bookmarkEnd w:id="32"/>
    <w:bookmarkStart w:id="33" w:name="X74867a7b2c16b8de440578aa3f6074c77be2239"/>
    <w:p>
      <w:pPr>
        <w:pStyle w:val="Heading4"/>
      </w:pPr>
      <w:r>
        <w:t xml:space="preserve">4.2. Scope 2 Emissions (Purchased Electricity for Manufacturing)</w:t>
      </w:r>
    </w:p>
    <w:p>
      <w:pPr>
        <w:pStyle w:val="FirstParagraph"/>
      </w:pPr>
      <w:r>
        <w:t xml:space="preserve">These are indirect emissions from the generation of purchased electricity consumed during the manufacturing of mhfivqhxuk in China.</w:t>
      </w:r>
    </w:p>
    <w:p>
      <w:pPr>
        <w:numPr>
          <w:ilvl w:val="0"/>
          <w:numId w:val="1007"/>
        </w:numPr>
        <w:pStyle w:val="Compact"/>
      </w:pPr>
      <w:r>
        <w:t xml:space="preserve">Total energy intensity: 20 kWh/unit</w:t>
      </w:r>
    </w:p>
    <w:p>
      <w:pPr>
        <w:numPr>
          <w:ilvl w:val="0"/>
          <w:numId w:val="1007"/>
        </w:numPr>
        <w:pStyle w:val="Compact"/>
      </w:pPr>
      <w:r>
        <w:t xml:space="preserve">Renewable energy usage: 50%</w:t>
      </w:r>
    </w:p>
    <w:p>
      <w:pPr>
        <w:numPr>
          <w:ilvl w:val="0"/>
          <w:numId w:val="1007"/>
        </w:numPr>
        <w:pStyle w:val="Compact"/>
      </w:pPr>
      <w:r>
        <w:t xml:space="preserve">Non-renewable electricity: 20 kWh/unit * (1 - 0.50) = 10 kWh/unit</w:t>
      </w:r>
    </w:p>
    <w:p>
      <w:pPr>
        <w:numPr>
          <w:ilvl w:val="0"/>
          <w:numId w:val="1007"/>
        </w:numPr>
        <w:pStyle w:val="Compact"/>
      </w:pPr>
      <w:r>
        <w:t xml:space="preserve">China Grid Emission Factor: 0.60 kg CO2e/kWh</w:t>
      </w:r>
    </w:p>
    <w:p>
      <w:pPr>
        <w:numPr>
          <w:ilvl w:val="0"/>
          <w:numId w:val="1007"/>
        </w:numPr>
        <w:pStyle w:val="Compact"/>
      </w:pPr>
      <w:r>
        <w:rPr>
          <w:bCs/>
          <w:b/>
        </w:rPr>
        <w:t xml:space="preserve">Scope 2 Emissions:</w:t>
      </w:r>
      <w:r>
        <w:t xml:space="preserve"> </w:t>
      </w:r>
      <w:r>
        <w:t xml:space="preserve">10 kWh/unit * 0.60 kg CO2e/kWh =</w:t>
      </w:r>
      <w:r>
        <w:t xml:space="preserve"> </w:t>
      </w:r>
      <w:r>
        <w:rPr>
          <w:bCs/>
          <w:b/>
        </w:rPr>
        <w:t xml:space="preserve">6.0 kg CO2e</w:t>
      </w:r>
    </w:p>
    <w:bookmarkEnd w:id="33"/>
    <w:bookmarkStart w:id="38" w:name="scope-3-emissions-value-chain-emissions"/>
    <w:p>
      <w:pPr>
        <w:pStyle w:val="Heading4"/>
      </w:pPr>
      <w:r>
        <w:t xml:space="preserve">4.3. Scope 3 Emissions (Value Chain Emissions)</w:t>
      </w:r>
    </w:p>
    <w:p>
      <w:pPr>
        <w:pStyle w:val="FirstParagraph"/>
      </w:pPr>
      <w:r>
        <w:t xml:space="preserve">Scope 3 emissions represent the most significant portion of a product\'s carbon footprint, encompassing both upstream and downstream activities in the value chain.</w:t>
      </w:r>
    </w:p>
    <w:bookmarkStart w:id="34" w:name="X057ce896d4a1f837cad62054593f6bf20c2c236"/>
    <w:p>
      <w:pPr>
        <w:pStyle w:val="Heading5"/>
      </w:pPr>
      <w:r>
        <w:t xml:space="preserve">4.3.1. Material Acquisition &amp; Processing (Scope 3, Category 1: Purchased Goods and Services)</w:t>
      </w:r>
    </w:p>
    <w:p>
      <w:pPr>
        <w:pStyle w:val="FirstParagraph"/>
      </w:pPr>
      <w:r>
        <w:t xml:space="preserve">These emissions arise from the extraction, production, and processing of raw materials used in mhfivqhxuk.</w:t>
      </w:r>
    </w:p>
    <w:p>
      <w:pPr>
        <w:numPr>
          <w:ilvl w:val="0"/>
          <w:numId w:val="1008"/>
        </w:numPr>
        <w:pStyle w:val="Compact"/>
      </w:pPr>
      <w:r>
        <w:t xml:space="preserve">Total Carbon from Detailed BOM:</w:t>
      </w:r>
      <w:r>
        <w:t xml:space="preserve"> </w:t>
      </w:r>
      <w:r>
        <w:rPr>
          <w:bCs/>
          <w:b/>
        </w:rPr>
        <w:t xml:space="preserve">57.7 kg CO2e</w:t>
      </w:r>
    </w:p>
    <w:bookmarkEnd w:id="34"/>
    <w:bookmarkStart w:id="35" w:name="X70cb3cc0fca1a2ffe4d2f02e679ee81bdb84281"/>
    <w:p>
      <w:pPr>
        <w:pStyle w:val="Heading5"/>
      </w:pPr>
      <w:r>
        <w:t xml:space="preserve">4.3.2. Transportation (Scope 3, Categories 4 &amp; 9: Upstream &amp; Downstream Transportation and Distribution)</w:t>
      </w:r>
    </w:p>
    <w:p>
      <w:pPr>
        <w:pStyle w:val="FirstParagraph"/>
      </w:pPr>
      <w:r>
        <w:t xml:space="preserve">Emissions from the transportation of materials to the factory (upstream) and the finished product to the customer (downstream).</w:t>
      </w:r>
    </w:p>
    <w:p>
      <w:pPr>
        <w:pStyle w:val="BodyText"/>
      </w:pPr>
      <w:r>
        <w:rPr>
          <w:bCs/>
          <w:b/>
        </w:rPr>
        <w:t xml:space="preserve">Upstream Transportation (Materials):</w:t>
      </w:r>
    </w:p>
    <w:p>
      <w:pPr>
        <w:numPr>
          <w:ilvl w:val="0"/>
          <w:numId w:val="1009"/>
        </w:numPr>
        <w:pStyle w:val="Compact"/>
      </w:pPr>
      <w:r>
        <w:t xml:space="preserve">Materials weight (per unit): ~0.0177 tonnes (17.7 kg)</w:t>
      </w:r>
    </w:p>
    <w:p>
      <w:pPr>
        <w:numPr>
          <w:ilvl w:val="0"/>
          <w:numId w:val="1009"/>
        </w:numPr>
        <w:pStyle w:val="Compact"/>
      </w:pPr>
      <w:r>
        <w:t xml:space="preserve">Road freight (EU materials to port): 500 km * 0.0177 t * 0.1 kg CO2e/tkm = 0.0885 kg CO2e</w:t>
      </w:r>
    </w:p>
    <w:p>
      <w:pPr>
        <w:numPr>
          <w:ilvl w:val="0"/>
          <w:numId w:val="1009"/>
        </w:numPr>
        <w:pStyle w:val="Compact"/>
      </w:pPr>
      <w:r>
        <w:t xml:space="preserve">Ocean freight (EU port to CN port): 18,000 km * 0.0177 t * 0.016 kg CO2e/tkm = 5.0976 kg CO2e</w:t>
      </w:r>
    </w:p>
    <w:p>
      <w:pPr>
        <w:numPr>
          <w:ilvl w:val="0"/>
          <w:numId w:val="1009"/>
        </w:numPr>
        <w:pStyle w:val="Compact"/>
      </w:pPr>
      <w:r>
        <w:t xml:space="preserve">Road freight (CN port to CN factory): 200 km * 0.0177 t * 0.1 kg CO2e/tkm = 0.0354 kg CO2e</w:t>
      </w:r>
    </w:p>
    <w:p>
      <w:pPr>
        <w:numPr>
          <w:ilvl w:val="0"/>
          <w:numId w:val="1009"/>
        </w:numPr>
        <w:pStyle w:val="Compact"/>
      </w:pPr>
      <w:r>
        <w:rPr>
          <w:bCs/>
          <w:b/>
        </w:rPr>
        <w:t xml:space="preserve">Total Upstream Transport:</w:t>
      </w:r>
      <w:r>
        <w:t xml:space="preserve"> </w:t>
      </w:r>
      <w:r>
        <w:rPr>
          <w:bCs/>
          <w:b/>
        </w:rPr>
        <w:t xml:space="preserve">5.22 kg CO2e</w:t>
      </w:r>
    </w:p>
    <w:p>
      <w:pPr>
        <w:pStyle w:val="FirstParagraph"/>
      </w:pPr>
      <w:r>
        <w:rPr>
          <w:bCs/>
          <w:b/>
        </w:rPr>
        <w:t xml:space="preserve">Downstream Transportation (Product):</w:t>
      </w:r>
    </w:p>
    <w:p>
      <w:pPr>
        <w:numPr>
          <w:ilvl w:val="0"/>
          <w:numId w:val="1010"/>
        </w:numPr>
        <w:pStyle w:val="Compact"/>
      </w:pPr>
      <w:r>
        <w:t xml:space="preserve">Product weight (per unit): 0.0177 tonnes (17.7 kg)</w:t>
      </w:r>
    </w:p>
    <w:p>
      <w:pPr>
        <w:numPr>
          <w:ilvl w:val="0"/>
          <w:numId w:val="1010"/>
        </w:numPr>
        <w:pStyle w:val="Compact"/>
      </w:pPr>
      <w:r>
        <w:t xml:space="preserve">Road freight (CN factory to CN port): 200 km * 0.0177 t * 0.1 kg CO2e/tkm = 0.0354 kg CO2e</w:t>
      </w:r>
    </w:p>
    <w:p>
      <w:pPr>
        <w:numPr>
          <w:ilvl w:val="0"/>
          <w:numId w:val="1010"/>
        </w:numPr>
        <w:pStyle w:val="Compact"/>
      </w:pPr>
      <w:r>
        <w:t xml:space="preserve">Ocean freight (CN port to EU port): 15,000 km (rtogsvljej) * 0.0177 t * 0.016 kg CO2e/tkm = 4.248 kg CO2e</w:t>
      </w:r>
    </w:p>
    <w:p>
      <w:pPr>
        <w:numPr>
          <w:ilvl w:val="0"/>
          <w:numId w:val="1010"/>
        </w:numPr>
        <w:pStyle w:val="Compact"/>
      </w:pPr>
      <w:r>
        <w:t xml:space="preserve">Road freight (EU port to EU distribution center): 300 km * 0.0177 t * 0.1 kg CO2e/tkm = 0.0531 kg CO2e</w:t>
      </w:r>
    </w:p>
    <w:p>
      <w:pPr>
        <w:numPr>
          <w:ilvl w:val="0"/>
          <w:numId w:val="1010"/>
        </w:numPr>
        <w:pStyle w:val="Compact"/>
      </w:pPr>
      <w:r>
        <w:t xml:space="preserve">Last-Mile Delivery (Delivery Type - Parcel by Van): 50 km * 0.0177 t * 0.3 kg CO2e/tkm = 0.2655 kg CO2e</w:t>
      </w:r>
    </w:p>
    <w:p>
      <w:pPr>
        <w:numPr>
          <w:ilvl w:val="0"/>
          <w:numId w:val="1010"/>
        </w:numPr>
        <w:pStyle w:val="Compact"/>
      </w:pPr>
      <w:r>
        <w:rPr>
          <w:bCs/>
          <w:b/>
        </w:rPr>
        <w:t xml:space="preserve">Total Downstream Transport:</w:t>
      </w:r>
      <w:r>
        <w:t xml:space="preserve"> </w:t>
      </w:r>
      <w:r>
        <w:rPr>
          <w:bCs/>
          <w:b/>
        </w:rPr>
        <w:t xml:space="preserve">4.60 kg CO2e</w:t>
      </w:r>
    </w:p>
    <w:p>
      <w:pPr>
        <w:numPr>
          <w:ilvl w:val="0"/>
          <w:numId w:val="1011"/>
        </w:numPr>
        <w:pStyle w:val="Compact"/>
      </w:pPr>
      <w:r>
        <w:rPr>
          <w:bCs/>
          <w:b/>
        </w:rPr>
        <w:t xml:space="preserve">Total Transportation Emissions:</w:t>
      </w:r>
      <w:r>
        <w:t xml:space="preserve"> </w:t>
      </w:r>
      <w:r>
        <w:t xml:space="preserve">5.22 kg CO2e + 4.60 kg CO2e =</w:t>
      </w:r>
      <w:r>
        <w:t xml:space="preserve"> </w:t>
      </w:r>
      <w:r>
        <w:rPr>
          <w:bCs/>
          <w:b/>
        </w:rPr>
        <w:t xml:space="preserve">9.82 kg CO2e</w:t>
      </w:r>
    </w:p>
    <w:bookmarkEnd w:id="35"/>
    <w:bookmarkStart w:id="36" w:name="Xc8d47610e025d3b1fe367d676386ecee874efa3"/>
    <w:p>
      <w:pPr>
        <w:pStyle w:val="Heading5"/>
      </w:pPr>
      <w:r>
        <w:t xml:space="preserve">4.3.3. Use Phase (Scope 3, Category 11: Use of Sold Products)</w:t>
      </w:r>
    </w:p>
    <w:p>
      <w:pPr>
        <w:pStyle w:val="FirstParagraph"/>
      </w:pPr>
      <w:r>
        <w:t xml:space="preserve">Emissions from the energy consumed during the product\'s operational life.</w:t>
      </w:r>
    </w:p>
    <w:p>
      <w:pPr>
        <w:numPr>
          <w:ilvl w:val="0"/>
          <w:numId w:val="1012"/>
        </w:numPr>
        <w:pStyle w:val="Compact"/>
      </w:pPr>
      <w:r>
        <w:t xml:space="preserve">Product lifespan: ksvukwdowl (7 years)</w:t>
      </w:r>
    </w:p>
    <w:p>
      <w:pPr>
        <w:numPr>
          <w:ilvl w:val="0"/>
          <w:numId w:val="1012"/>
        </w:numPr>
        <w:pStyle w:val="Compact"/>
      </w:pPr>
      <w:r>
        <w:t xml:space="preserve">Energy consumption in use: ifspvekdnk (15 kWh/year)</w:t>
      </w:r>
    </w:p>
    <w:p>
      <w:pPr>
        <w:numPr>
          <w:ilvl w:val="0"/>
          <w:numId w:val="1012"/>
        </w:numPr>
        <w:pStyle w:val="Compact"/>
      </w:pPr>
      <w:r>
        <w:t xml:space="preserve">Total energy over lifespan: 7 years * 15 kWh/year = 105 kWh/unit</w:t>
      </w:r>
    </w:p>
    <w:p>
      <w:pPr>
        <w:numPr>
          <w:ilvl w:val="0"/>
          <w:numId w:val="1012"/>
        </w:numPr>
        <w:pStyle w:val="Compact"/>
      </w:pPr>
      <w:r>
        <w:t xml:space="preserve">European Grid Emission Factor: 0.25 kg CO2e/kWh</w:t>
      </w:r>
    </w:p>
    <w:p>
      <w:pPr>
        <w:numPr>
          <w:ilvl w:val="0"/>
          <w:numId w:val="1012"/>
        </w:numPr>
        <w:pStyle w:val="Compact"/>
      </w:pPr>
      <w:r>
        <w:rPr>
          <w:bCs/>
          <w:b/>
        </w:rPr>
        <w:t xml:space="preserve">Use Phase Emissions:</w:t>
      </w:r>
      <w:r>
        <w:t xml:space="preserve"> </w:t>
      </w:r>
      <w:r>
        <w:t xml:space="preserve">105 kWh/unit * 0.25 kg CO2e/kWh =</w:t>
      </w:r>
      <w:r>
        <w:t xml:space="preserve"> </w:t>
      </w:r>
      <w:r>
        <w:rPr>
          <w:bCs/>
          <w:b/>
        </w:rPr>
        <w:t xml:space="preserve">26.25 kg CO2e</w:t>
      </w:r>
    </w:p>
    <w:bookmarkEnd w:id="36"/>
    <w:bookmarkStart w:id="37" w:name="X9982929b618de862c11111658ccce8db3e98553"/>
    <w:p>
      <w:pPr>
        <w:pStyle w:val="Heading5"/>
      </w:pPr>
      <w:r>
        <w:t xml:space="preserve">4.3.4. End-of-Life (EoL) (Scope 3, Category 12: End-of-Life Treatment of Sold Products)</w:t>
      </w:r>
    </w:p>
    <w:p>
      <w:pPr>
        <w:pStyle w:val="FirstParagraph"/>
      </w:pPr>
      <w:r>
        <w:t xml:space="preserve">Emissions and avoided emissions associated with the disposal and recycling of the product and its packaging at the end of its life.</w:t>
      </w:r>
    </w:p>
    <w:p>
      <w:pPr>
        <w:numPr>
          <w:ilvl w:val="0"/>
          <w:numId w:val="1013"/>
        </w:numPr>
        <w:pStyle w:val="Compact"/>
      </w:pPr>
      <w:r>
        <w:t xml:space="preserve">Product weight (excluding packaging from BOM): 17.7 kg</w:t>
      </w:r>
    </w:p>
    <w:p>
      <w:pPr>
        <w:numPr>
          <w:ilvl w:val="0"/>
          <w:numId w:val="1013"/>
        </w:numPr>
        <w:pStyle w:val="Compact"/>
      </w:pPr>
      <w:r>
        <w:t xml:space="preserve">Recyclability Percentage: pykexyziep (75%)</w:t>
      </w:r>
    </w:p>
    <w:p>
      <w:pPr>
        <w:numPr>
          <w:ilvl w:val="0"/>
          <w:numId w:val="1013"/>
        </w:numPr>
        <w:pStyle w:val="Compact"/>
      </w:pPr>
      <w:r>
        <w:t xml:space="preserve">Portion recycled: 17.7 kg * 0.75 = 13.275 kg</w:t>
      </w:r>
    </w:p>
    <w:p>
      <w:pPr>
        <w:numPr>
          <w:ilvl w:val="0"/>
          <w:numId w:val="1013"/>
        </w:numPr>
        <w:pStyle w:val="Compact"/>
      </w:pPr>
      <w:r>
        <w:t xml:space="preserve">Portion landfilled: 17.7 kg * 0.25 = 4.425 kg</w:t>
      </w:r>
    </w:p>
    <w:p>
      <w:pPr>
        <w:pStyle w:val="FirstParagraph"/>
      </w:pPr>
      <w:r>
        <w:t xml:space="preserve">For EoL, a credit is applied for recycled materials based on avoided virgin material production, and emissions are calculated for the landfilled portion.</w:t>
      </w:r>
    </w:p>
    <w:p>
      <w:pPr>
        <w:numPr>
          <w:ilvl w:val="0"/>
          <w:numId w:val="1014"/>
        </w:numPr>
        <w:pStyle w:val="Compact"/>
      </w:pPr>
      <w:r>
        <w:t xml:space="preserve">Assumed credit for recycled materials: 50% of original material emission factor for the recycled portion. (Total material emissions of 57.7 kg CO2e for 17.7 kg product weight).</w:t>
      </w:r>
    </w:p>
    <w:p>
      <w:pPr>
        <w:numPr>
          <w:ilvl w:val="1"/>
          <w:numId w:val="1015"/>
        </w:numPr>
        <w:pStyle w:val="Compact"/>
      </w:pPr>
      <w:r>
        <w:t xml:space="preserve">Avoided Emissions from Recycling: (57.7 kg CO2e / 17.7 kg product) * 13.275 kg recycled * 0.5 (credit factor) = -21.64 kg CO2e</w:t>
      </w:r>
    </w:p>
    <w:p>
      <w:pPr>
        <w:numPr>
          <w:ilvl w:val="0"/>
          <w:numId w:val="1014"/>
        </w:numPr>
        <w:pStyle w:val="Compact"/>
      </w:pPr>
      <w:r>
        <w:t xml:space="preserve">Assumed emissions for landfilled waste: 0.1 kg CO2e/kg (illustrative factor for mixed waste to landfill).</w:t>
      </w:r>
    </w:p>
    <w:p>
      <w:pPr>
        <w:numPr>
          <w:ilvl w:val="1"/>
          <w:numId w:val="1016"/>
        </w:numPr>
        <w:pStyle w:val="Compact"/>
      </w:pPr>
      <w:r>
        <w:t xml:space="preserve">Landfill Emissions: 4.425 kg * 0.1 kg CO2e/kg = 0.44 kg CO2e</w:t>
      </w:r>
    </w:p>
    <w:p>
      <w:pPr>
        <w:numPr>
          <w:ilvl w:val="0"/>
          <w:numId w:val="1014"/>
        </w:numPr>
        <w:pStyle w:val="Compact"/>
      </w:pPr>
      <w:r>
        <w:rPr>
          <w:bCs/>
          <w:b/>
        </w:rPr>
        <w:t xml:space="preserve">Net End-of-Life Emissions:</w:t>
      </w:r>
      <w:r>
        <w:t xml:space="preserve"> </w:t>
      </w:r>
      <w:r>
        <w:t xml:space="preserve">0.44 kg CO2e - 21.64 kg CO2e =</w:t>
      </w:r>
      <w:r>
        <w:t xml:space="preserve"> </w:t>
      </w:r>
      <w:r>
        <w:rPr>
          <w:bCs/>
          <w:b/>
        </w:rPr>
        <w:t xml:space="preserve">-21.20 kg CO2e</w:t>
      </w:r>
      <w:r>
        <w:t xml:space="preserve"> </w:t>
      </w:r>
      <w:r>
        <w:t xml:space="preserve">(net saving)</w:t>
      </w:r>
    </w:p>
    <w:p>
      <w:pPr>
        <w:pStyle w:val="FirstParagraph"/>
      </w:pPr>
      <w:r>
        <w:t xml:space="preserve">The "Active product take-back and refurbishment program" (yzvqykskde) further strengthens these EoL benefits by diverting products from waste streams and extending their functional life, though quantitative benefits are challenging to model without specific program data for refurbishment rates and lifespan extension.</w:t>
      </w:r>
    </w:p>
    <w:bookmarkEnd w:id="37"/>
    <w:bookmarkEnd w:id="38"/>
    <w:bookmarkEnd w:id="39"/>
    <w:bookmarkStart w:id="40" w:name="X299a3717db401fbc63eac38de0814f3ad8939f4"/>
    <w:p>
      <w:pPr>
        <w:pStyle w:val="Heading3"/>
      </w:pPr>
      <w:r>
        <w:t xml:space="preserve">Total Product Carbon Footprint (PCF) Summary</w:t>
      </w:r>
    </w:p>
    <w:p>
      <w:pPr>
        <w:pStyle w:val="FirstParagraph"/>
      </w:pPr>
      <w:r>
        <w:t xml:space="preserve">The total PCF for one unit of mhfivqhxuk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57.70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9.82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-21.20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78.57 kg CO2e</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primary emission hotspots for mhfivqhxuk are:</w:t>
      </w:r>
    </w:p>
    <w:p>
      <w:pPr>
        <w:numPr>
          <w:ilvl w:val="0"/>
          <w:numId w:val="1017"/>
        </w:numPr>
        <w:pStyle w:val="Compact"/>
      </w:pPr>
      <w:r>
        <w:rPr>
          <w:bCs/>
          <w:b/>
        </w:rPr>
        <w:t xml:space="preserve">Material Acquisition &amp; Processing (57.70 kg CO2e):</w:t>
      </w:r>
      <w:r>
        <w:t xml:space="preserve"> </w:t>
      </w:r>
      <w:r>
        <w:t xml:space="preserve">This stage represents the largest contribution to the PCF, highlighting the importance of material selection and supply chain decarbonization. High-impact materials like Steel, Plastic (ABS), and Aluminum, as well as specialized Electronics, are significant drivers.</w:t>
      </w:r>
    </w:p>
    <w:p>
      <w:pPr>
        <w:numPr>
          <w:ilvl w:val="0"/>
          <w:numId w:val="1017"/>
        </w:numPr>
        <w:pStyle w:val="Compact"/>
      </w:pPr>
      <w:r>
        <w:rPr>
          <w:bCs/>
          <w:b/>
        </w:rPr>
        <w:t xml:space="preserve">Use Phase (26.25 kg CO2e):</w:t>
      </w:r>
      <w:r>
        <w:t xml:space="preserve"> </w:t>
      </w:r>
      <w:r>
        <w:t xml:space="preserve">For an energy-consuming product, the electricity consumed during its lifespan contributes substantially.</w:t>
      </w:r>
    </w:p>
    <w:p>
      <w:pPr>
        <w:numPr>
          <w:ilvl w:val="0"/>
          <w:numId w:val="1017"/>
        </w:numPr>
        <w:pStyle w:val="Compact"/>
      </w:pPr>
      <w:r>
        <w:rPr>
          <w:bCs/>
          <w:b/>
        </w:rPr>
        <w:t xml:space="preserve">Transportation (9.82 kg CO2e):</w:t>
      </w:r>
      <w:r>
        <w:t xml:space="preserve"> </w:t>
      </w:r>
      <w:r>
        <w:t xml:space="preserve">The long-haul ocean freight for both materials and finished products, along with last-mile delivery, are notable contributors.</w:t>
      </w:r>
    </w:p>
    <w:p>
      <w:pPr>
        <w:numPr>
          <w:ilvl w:val="0"/>
          <w:numId w:val="1017"/>
        </w:numPr>
        <w:pStyle w:val="Compact"/>
      </w:pPr>
      <w:r>
        <w:rPr>
          <w:bCs/>
          <w:b/>
        </w:rPr>
        <w:t xml:space="preserve">End-of-Life (-21.20 kg CO2e):</w:t>
      </w:r>
      <w:r>
        <w:t xml:space="preserve"> </w:t>
      </w:r>
      <w:r>
        <w:t xml:space="preserve">The strong recyclability and circular economy programs result in a significant net saving, effectively reducing the overall footprint.</w:t>
      </w:r>
    </w:p>
    <w:bookmarkEnd w:id="42"/>
    <w:bookmarkStart w:id="43" w:name="reliability-and-limitations"/>
    <w:p>
      <w:pPr>
        <w:pStyle w:val="Heading3"/>
      </w:pPr>
      <w:r>
        <w:t xml:space="preserve">5.2. Reliability and Limitations</w:t>
      </w:r>
    </w:p>
    <w:p>
      <w:pPr>
        <w:pStyle w:val="FirstParagraph"/>
      </w:pPr>
      <w:r>
        <w:t xml:space="preserve">The reliability of this PCF analysis is high due to the use of specific primary data for the Bill of Materials and customized energy usage. However, some limitations and assumptions inherent in any PCF study should be noted:</w:t>
      </w:r>
    </w:p>
    <w:p>
      <w:pPr>
        <w:numPr>
          <w:ilvl w:val="0"/>
          <w:numId w:val="1018"/>
        </w:numPr>
        <w:pStyle w:val="Compact"/>
      </w:pPr>
      <w:r>
        <w:rPr>
          <w:bCs/>
          <w:b/>
        </w:rPr>
        <w:t xml:space="preserve">Secondary Emission Factors:</w:t>
      </w:r>
      <w:r>
        <w:t xml:space="preserve"> </w:t>
      </w:r>
      <w:r>
        <w:t xml:space="preserve">Generic industry-average emission factors (e.g., for transport modes, electricity grids, and general EoL processes) have been used where specific supplier-provided (primary) data was unavailable. These factors are derived from reputable sources such as Ecoinvent and DEFRA equivalents, but regional and process-specific variations can exist.</w:t>
      </w:r>
    </w:p>
    <w:p>
      <w:pPr>
        <w:numPr>
          <w:ilvl w:val="0"/>
          <w:numId w:val="1018"/>
        </w:numPr>
        <w:pStyle w:val="Compact"/>
      </w:pPr>
      <w:r>
        <w:rPr>
          <w:bCs/>
          <w:b/>
        </w:rPr>
        <w:t xml:space="preserve">System Boundaries:</w:t>
      </w:r>
      <w:r>
        <w:t xml:space="preserve"> </w:t>
      </w:r>
      <w:r>
        <w:t xml:space="preserve">While a cradle-to-grave approach is adopted, some minor upstream or downstream processes (e.g., capital goods, business travel) might be excluded if deemed immaterial to the overall footprint to maintain a practical scope.</w:t>
      </w:r>
    </w:p>
    <w:p>
      <w:pPr>
        <w:numPr>
          <w:ilvl w:val="0"/>
          <w:numId w:val="1018"/>
        </w:numPr>
        <w:pStyle w:val="Compact"/>
      </w:pPr>
      <w:r>
        <w:rPr>
          <w:bCs/>
          <w:b/>
        </w:rPr>
        <w:t xml:space="preserve">Allocation for EoL:</w:t>
      </w:r>
      <w:r>
        <w:t xml:space="preserve"> </w:t>
      </w:r>
      <w:r>
        <w:t xml:space="preserve">The credit for recycling is based on an assumed avoidance factor. A more detailed LCA might employ specific system expansion or substitution methods to account for recycled content and end-of-life benefits.</w:t>
      </w:r>
    </w:p>
    <w:p>
      <w:pPr>
        <w:numPr>
          <w:ilvl w:val="0"/>
          <w:numId w:val="1018"/>
        </w:numPr>
        <w:pStyle w:val="Compact"/>
      </w:pPr>
      <w:r>
        <w:rPr>
          <w:bCs/>
          <w:b/>
        </w:rPr>
        <w:t xml:space="preserve">Dynamic Factors:</w:t>
      </w:r>
      <w:r>
        <w:t xml:space="preserve"> </w:t>
      </w:r>
      <w:r>
        <w:t xml:space="preserve">Emission factors, especially for electricity grids, are dynamic and subject to change with shifts in energy mixes and technological advancements.</w:t>
      </w:r>
    </w:p>
    <w:bookmarkEnd w:id="43"/>
    <w:bookmarkStart w:id="44" w:name="X98e1ee2ce93fda67d3ae3ffe9038beb87d72a45"/>
    <w:p>
      <w:pPr>
        <w:pStyle w:val="Heading3"/>
      </w:pPr>
      <w:r>
        <w:t xml:space="preserve">5.3. GHG Protocol and 2026 LSR Update Compliance</w:t>
      </w:r>
    </w:p>
    <w:p>
      <w:pPr>
        <w:numPr>
          <w:ilvl w:val="0"/>
          <w:numId w:val="1019"/>
        </w:numPr>
        <w:pStyle w:val="Compact"/>
      </w:pPr>
      <w:r>
        <w:rPr>
          <w:bCs/>
          <w:b/>
        </w:rPr>
        <w:t xml:space="preserve">GHG Protocol Adherence:</w:t>
      </w:r>
      <w:r>
        <w:t xml:space="preserve"> </w:t>
      </w:r>
      <w:r>
        <w:t xml:space="preserve">This analysis strictly follows the GHG Protocol standards for defining scope, boundaries, data collection, and emission categorization into Scope 1, Scope 2, and Scope 3.</w:t>
      </w:r>
    </w:p>
    <w:p>
      <w:pPr>
        <w:numPr>
          <w:ilvl w:val="0"/>
          <w:numId w:val="1019"/>
        </w:numPr>
        <w:pStyle w:val="Compact"/>
      </w:pPr>
      <w:r>
        <w:rPr>
          <w:bCs/>
          <w:b/>
        </w:rPr>
        <w:t xml:space="preserve">2026 LSR Update:</w:t>
      </w:r>
      <w:r>
        <w:t xml:space="preserve"> </w:t>
      </w:r>
      <w:r>
        <w:t xml:space="preserve">The Land Sector and Removals (LSR) Standard, effective January 1, 2027, provides comprehensive guidance for accounting for land emissions, CO2 removals, and biogenic products. While the product mhfivqhxuk does not appear to have direct, significant land-use change impacts within its manufacturing or use phases, the LSR Standard is relevant for materials derived from agriculture or forestry (e.g., cardboard packaging). A deeper dive into the sourcing of such materials could apply LSR principles to quantify and track associated land-based emissions or removals. The "Packaging (Cardboard)" component in the BOM would be a candidate for such an analysis if detailed sourcing data were available.</w:t>
      </w:r>
    </w:p>
    <w:p>
      <w:pPr>
        <w:numPr>
          <w:ilvl w:val="0"/>
          <w:numId w:val="1019"/>
        </w:numPr>
        <w:pStyle w:val="Compact"/>
      </w:pPr>
      <w:r>
        <w:rPr>
          <w:bCs/>
          <w:b/>
        </w:rPr>
        <w:t xml:space="preserve">Scope 3 Coverage:</w:t>
      </w:r>
      <w:r>
        <w:t xml:space="preserve"> </w:t>
      </w:r>
      <w:r>
        <w:t xml:space="preserve">By including Purchased Goods and Services (materials), all relevant Transportation, Use of Sold Products, and End-of-Life, this report achieves comprehensive coverage of Scope 3 emissions, ensuring compliance with the 95% coverage requirement for 2026.</w:t>
      </w:r>
    </w:p>
    <w:bookmarkEnd w:id="44"/>
    <w:bookmarkStart w:id="45" w:name="recommendations-for-vsjpunhhls"/>
    <w:p>
      <w:pPr>
        <w:pStyle w:val="Heading3"/>
      </w:pPr>
      <w:r>
        <w:t xml:space="preserve">5.4. Recommendations for vsjpunhhls</w:t>
      </w:r>
    </w:p>
    <w:p>
      <w:pPr>
        <w:pStyle w:val="FirstParagraph"/>
      </w:pPr>
      <w:r>
        <w:t xml:space="preserve">Based on this PCF analysis, vsjpunhhls can focus on the following strategies to further reduce the carbon footprint of mhfivqhxuk:</w:t>
      </w:r>
    </w:p>
    <w:p>
      <w:pPr>
        <w:numPr>
          <w:ilvl w:val="0"/>
          <w:numId w:val="1020"/>
        </w:numPr>
        <w:pStyle w:val="Compact"/>
      </w:pPr>
      <w:r>
        <w:rPr>
          <w:bCs/>
          <w:b/>
        </w:rPr>
        <w:t xml:space="preserve">Material Decarbonization:</w:t>
      </w:r>
      <w:r>
        <w:t xml:space="preserve"> </w:t>
      </w:r>
      <w:r>
        <w:t xml:space="preserve">Invest in sourcing lower-carbon alternative materials, increasing recycled content (beyond current recyclability), or collaborating with suppliers to reduce the embedded emissions of high-impact components (Steel, Plastic, Aluminum, Electronics).</w:t>
      </w:r>
    </w:p>
    <w:p>
      <w:pPr>
        <w:numPr>
          <w:ilvl w:val="0"/>
          <w:numId w:val="1020"/>
        </w:numPr>
        <w:pStyle w:val="Compact"/>
      </w:pPr>
      <w:r>
        <w:rPr>
          <w:bCs/>
          <w:b/>
        </w:rPr>
        <w:t xml:space="preserve">Manufacturing Optimization:</w:t>
      </w:r>
      <w:r>
        <w:t xml:space="preserve"> </w:t>
      </w:r>
      <w:r>
        <w:t xml:space="preserve">Explore further investments in renewable energy at production facilities in China to increase the renewable energy usage beyond 50%. Optimize production processes for energy efficiency.</w:t>
      </w:r>
    </w:p>
    <w:p>
      <w:pPr>
        <w:numPr>
          <w:ilvl w:val="0"/>
          <w:numId w:val="1020"/>
        </w:numPr>
        <w:pStyle w:val="Compact"/>
      </w:pPr>
      <w:r>
        <w:rPr>
          <w:bCs/>
          <w:b/>
        </w:rPr>
        <w:t xml:space="preserve">Logistics Efficiency:</w:t>
      </w:r>
      <w:r>
        <w:t xml:space="preserve"> </w:t>
      </w:r>
      <w:r>
        <w:t xml:space="preserve">Investigate opportunities for modal shifts (e.g., from road to rail for European legs), route optimization, and collaborating with logistics providers that utilize more fuel-efficient fleets or alternative fuels.</w:t>
      </w:r>
    </w:p>
    <w:p>
      <w:pPr>
        <w:numPr>
          <w:ilvl w:val="0"/>
          <w:numId w:val="1020"/>
        </w:numPr>
        <w:pStyle w:val="Compact"/>
      </w:pPr>
      <w:r>
        <w:rPr>
          <w:bCs/>
          <w:b/>
        </w:rPr>
        <w:t xml:space="preserve">Use Phase Engagement:</w:t>
      </w:r>
      <w:r>
        <w:t xml:space="preserve"> </w:t>
      </w:r>
      <w:r>
        <w:t xml:space="preserve">Educate consumers on energy-efficient product use. Explore product-as-a-service models or design for upgradeability to extend product lifespan and reduce energy consumption through efficiency gains in newer components.</w:t>
      </w:r>
    </w:p>
    <w:p>
      <w:pPr>
        <w:numPr>
          <w:ilvl w:val="0"/>
          <w:numId w:val="1020"/>
        </w:numPr>
        <w:pStyle w:val="Compact"/>
      </w:pPr>
      <w:r>
        <w:rPr>
          <w:bCs/>
          <w:b/>
        </w:rPr>
        <w:t xml:space="preserve">Circular Economy Enhancement:</w:t>
      </w:r>
      <w:r>
        <w:t xml:space="preserve"> </w:t>
      </w:r>
      <w:r>
        <w:t xml:space="preserve">Continue and expand take-back and refurbishment programs. Explore innovative design for disassembly and material recovery to further increase effective recycling rates and reduce reliance on virgin materials.</w:t>
      </w:r>
    </w:p>
    <w:p>
      <w:r>
        <w:pict>
          <v:rect style="width:0;height:1.5pt" o:hralign="center" o:hrstd="t" o:hr="t"/>
        </w:pict>
      </w:r>
    </w:p>
    <w:bookmarkEnd w:id="45"/>
    <w:bookmarkEnd w:id="46"/>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mhfivqhxuk</dc:title>
  <dc:creator/>
  <dc:description>High-detail Product Carbon Footprint (PCF) analysis for mhfivqhxuk, adhering to GHG Protocol and 2026 LSR Update, conducted by Senior Sustainability Consultant qplqxidjzq for vsjpunhhls.</dc:description>
  <dc:language>en</dc:language>
  <cp:keywords/>
  <dcterms:created xsi:type="dcterms:W3CDTF">2026-05-30T22:59:35Z</dcterms:created>
  <dcterms:modified xsi:type="dcterms:W3CDTF">2026-05-30T22:59:35Z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