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mheotfihgs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mheotfihgs</w:t>
      </w:r>
    </w:p>
    <w:p>
      <w:pPr>
        <w:pStyle w:val="BodyText"/>
      </w:pPr>
      <w:r>
        <w:rPr>
          <w:bCs/>
          <w:b/>
        </w:rPr>
        <w:t xml:space="preserve">Company Name:</w:t>
      </w:r>
      <w:r>
        <w:t xml:space="preserve"> </w:t>
      </w:r>
      <w:r>
        <w:t xml:space="preserve">uixqyrzjwu</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xmzyogkyfs</w:t>
      </w:r>
    </w:p>
    <w:p>
      <w:pPr>
        <w:pStyle w:val="BodyText"/>
      </w:pPr>
      <w:r>
        <w:t xml:space="preserve">Disclaimer: This report is generated based on available data and industry standards. While every effort has been made to ensure accuracy, specific values may vary based on primary data availability and methodological choices.</w:t>
      </w:r>
    </w:p>
    <w:bookmarkEnd w:id="20"/>
    <w:bookmarkStart w:id="43" w:name="X371050cfc216f7e30e2c6bcdb31c70fcd3505e4"/>
    <w:p>
      <w:pPr>
        <w:pStyle w:val="Heading1"/>
      </w:pPr>
      <w:r>
        <w:t xml:space="preserve">Product Carbon Footprint Report for mheotfihgs</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\'mheotfihgs\', manufactured by \'uixqyrzjwu\'. As xmzyogkyfs, a Senior Sustainability Consultant specializing in GHG Protocol, this assessment adheres to the Greenhouse Gas Protocol standards, including the 2026 Land Sector and Removals (LSR) update and a stringent 95% Scope 3 coverage requirement. The analysis covers the entire lifecycle of the product, from material extraction to end-of-life, quantifying its environmental impact in terms of CO2 equivalent emissions. The total Product Carbon Footprint for one functional unit of mheotfihgs is calculated to be 17.54 kg CO2e.</w:t>
      </w:r>
    </w:p>
    <w:p>
      <w:r>
        <w:pict>
          <v:rect style="width:0;height:1.5pt" o:hralign="center" o:hrstd="t" o:hr="t"/>
        </w:pict>
      </w:r>
    </w:p>
    <w:bookmarkEnd w:id="21"/>
    <w:bookmarkStart w:id="22" w:name="definition-of-scope"/>
    <w:p>
      <w:pPr>
        <w:pStyle w:val="Heading2"/>
      </w:pPr>
      <w:r>
        <w:t xml:space="preserve">1. Definition of Scope</w:t>
      </w:r>
    </w:p>
    <w:p>
      <w:pPr>
        <w:pStyle w:val="FirstParagraph"/>
      </w:pPr>
      <w:r>
        <w:t xml:space="preserve">The scope of this Product Carbon Footprint (PCF) analysis for \'mheotfihgs\' is defined as follows:</w:t>
      </w:r>
    </w:p>
    <w:p>
      <w:pPr>
        <w:numPr>
          <w:ilvl w:val="0"/>
          <w:numId w:val="1001"/>
        </w:numPr>
        <w:pStyle w:val="Compact"/>
      </w:pPr>
      <w:r>
        <w:rPr>
          <w:bCs/>
          <w:b/>
        </w:rPr>
        <w:t xml:space="preserve">Functional Unit:</w:t>
      </w:r>
      <w:r>
        <w:t xml:space="preserve"> </w:t>
      </w:r>
      <w:r>
        <w:t xml:space="preserve">1.0 unit of mheotfihgs.</w:t>
      </w:r>
    </w:p>
    <w:p>
      <w:pPr>
        <w:numPr>
          <w:ilvl w:val="0"/>
          <w:numId w:val="1001"/>
        </w:numPr>
        <w:pStyle w:val="Compact"/>
      </w:pPr>
      <w:r>
        <w:rPr>
          <w:bCs/>
          <w:b/>
        </w:rPr>
        <w:t xml:space="preserve">System Boundary:</w:t>
      </w:r>
      <w:r>
        <w:t xml:space="preserve"> </w:t>
      </w:r>
      <w:r>
        <w:t xml:space="preserve">A cradle-to-grave approach for the product lifecycle, with \'factory_gate\' specifically defining the boundary for company\'s direct operational emissions (Scope 1 and Scope 2). Upstream and downstream value chain emissions are included under Scope 3 to provide a comprehensive product footprint.</w:t>
      </w:r>
    </w:p>
    <w:p>
      <w:pPr>
        <w:numPr>
          <w:ilvl w:val="0"/>
          <w:numId w:val="1001"/>
        </w:numPr>
        <w:pStyle w:val="Compact"/>
      </w:pPr>
      <w:r>
        <w:rPr>
          <w:bCs/>
          <w:b/>
        </w:rPr>
        <w:t xml:space="preserve">Geographic Scope:</w:t>
      </w:r>
      <w:r>
        <w:t xml:space="preserve"> </w:t>
      </w:r>
      <w:r>
        <w:t xml:space="preserve">Final production occurs in China, with a supply chain focus on Europe for key components and eventual product use/end-of-life considerations.</w:t>
      </w:r>
    </w:p>
    <w:p>
      <w:pPr>
        <w:numPr>
          <w:ilvl w:val="0"/>
          <w:numId w:val="1001"/>
        </w:numPr>
        <w:pStyle w:val="Compact"/>
      </w:pPr>
      <w:r>
        <w:rPr>
          <w:bCs/>
          <w:b/>
        </w:rPr>
        <w:t xml:space="preserve">Accounting Standard:</w:t>
      </w:r>
      <w:r>
        <w:t xml:space="preserve"> </w:t>
      </w:r>
      <w:r>
        <w:t xml:space="preserve">GHG Protocol Product Standard, incorporating the 2026 Land Sector and Removals (LSR) Standard for relevant land use and carbon removals, and ensuring a minimum of 95% Scope 3 coverage.</w:t>
      </w:r>
    </w:p>
    <w:p>
      <w:pPr>
        <w:numPr>
          <w:ilvl w:val="0"/>
          <w:numId w:val="1001"/>
        </w:numPr>
        <w:pStyle w:val="Compact"/>
      </w:pPr>
      <w:r>
        <w:rPr>
          <w:bCs/>
          <w:b/>
        </w:rPr>
        <w:t xml:space="preserve">Allocation:</w:t>
      </w:r>
      <w:r>
        <w:t xml:space="preserve"> </w:t>
      </w:r>
      <w:r>
        <w:t xml:space="preserve">All emissions are allocated directly to the functional unit (1.0 unit of mheotfihgs).</w:t>
      </w:r>
    </w:p>
    <w:p>
      <w:r>
        <w:pict>
          <v:rect style="width:0;height:1.5pt" o:hralign="center" o:hrstd="t" o:hr="t"/>
        </w:pict>
      </w:r>
    </w:p>
    <w:bookmarkEnd w:id="22"/>
    <w:bookmarkStart w:id="28" w:name="lifecycle-mapping-data-collection"/>
    <w:p>
      <w:pPr>
        <w:pStyle w:val="Heading2"/>
      </w:pPr>
      <w:r>
        <w:t xml:space="preserve">2. &amp; 3. Lifecycle Mapping &amp; Data Collection</w:t>
      </w:r>
    </w:p>
    <w:p>
      <w:pPr>
        <w:pStyle w:val="FirstParagraph"/>
      </w:pPr>
      <w:r>
        <w:t xml:space="preserve">The lifecycle of \'mheotfihgs\' has been mapped through the following stages, with detailed data collected for each. Primary data from \'uixqyrzjwu\' is used where specified, complemented by industry-standard secondary data for emission factors.</w:t>
      </w:r>
    </w:p>
    <w:bookmarkStart w:id="23" w:name="detailed-bill-of-materials-bom"/>
    <w:p>
      <w:pPr>
        <w:pStyle w:val="Heading3"/>
      </w:pPr>
      <w:r>
        <w:t xml:space="preserve">2.1. Detailed Bill of Materials (BOM)</w:t>
      </w:r>
    </w:p>
    <w:p>
      <w:pPr>
        <w:pStyle w:val="FirstParagraph"/>
      </w:pPr>
      <w:r>
        <w:t xml:space="preserve">The following materials constitute the product \'mheotfihgs\', with their associated pre-calculated carbon impact (Total Carbon) already considering material extraction and processing up to the \'factory_gate\' of the material supplier. These are categorized under Scope 3, Category 1 (Purchased Goods and Services). The provided BOM for enugtwfl is used for these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3.000</w:t>
            </w:r>
          </w:p>
        </w:tc>
      </w:tr>
      <w:tr>
        <w:tc>
          <w:tcPr/>
          <w:p>
            <w:pPr>
              <w:pStyle w:val="Compact"/>
              <w:jc w:val="left"/>
            </w:pPr>
            <w:r>
              <w:t xml:space="preserve">2</w:t>
            </w:r>
          </w:p>
        </w:tc>
        <w:tc>
          <w:tcPr/>
          <w:p>
            <w:pPr>
              <w:pStyle w:val="Compact"/>
              <w:jc w:val="left"/>
            </w:pPr>
            <w:r>
              <w:t xml:space="preserve">Plastic PCB Holder</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0.175</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Pulping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0.120</w:t>
            </w:r>
          </w:p>
        </w:tc>
      </w:tr>
      <w:tr>
        <w:tc>
          <w:tcPr>
            <w:gridSpan w:val="7"/>
          </w:tcPr>
          <w:p>
            <w:pPr>
              <w:pStyle w:val="Compact"/>
              <w:jc w:val="right"/>
            </w:pPr>
            <w:r>
              <w:rPr>
                <w:bCs/>
                <w:b/>
              </w:rPr>
              <w:t xml:space="preserve">Total Material Carbon:</w:t>
            </w:r>
          </w:p>
        </w:tc>
        <w:tc>
          <w:tcPr/>
          <w:p>
            <w:pPr>
              <w:pStyle w:val="Compact"/>
              <w:jc w:val="left"/>
            </w:pPr>
            <w:r>
              <w:rPr>
                <w:bCs/>
                <w:b/>
              </w:rPr>
              <w:t xml:space="preserve">5.295 kgCO2e</w:t>
            </w:r>
          </w:p>
        </w:tc>
      </w:tr>
    </w:tbl>
    <w:bookmarkEnd w:id="23"/>
    <w:bookmarkStart w:id="24" w:name="energy-inputs-production-phase"/>
    <w:p>
      <w:pPr>
        <w:pStyle w:val="Heading3"/>
      </w:pPr>
      <w:r>
        <w:t xml:space="preserve">2.2. Energy Inputs (Production Phase)</w:t>
      </w:r>
    </w:p>
    <w:p>
      <w:pPr>
        <w:numPr>
          <w:ilvl w:val="0"/>
          <w:numId w:val="1002"/>
        </w:numPr>
        <w:pStyle w:val="Compact"/>
      </w:pPr>
      <w:r>
        <w:rPr>
          <w:bCs/>
          <w:b/>
        </w:rPr>
        <w:t xml:space="preserve">Energy Intensity (kWh/unit):</w:t>
      </w:r>
      <w:r>
        <w:t xml:space="preserve"> </w:t>
      </w:r>
      <w:r>
        <w:t xml:space="preserve">0.5 kWh/unit (jzdtzszmtt)</w:t>
      </w:r>
    </w:p>
    <w:p>
      <w:pPr>
        <w:numPr>
          <w:ilvl w:val="0"/>
          <w:numId w:val="1002"/>
        </w:numPr>
        <w:pStyle w:val="Compact"/>
      </w:pPr>
      <w:r>
        <w:rPr>
          <w:bCs/>
          <w:b/>
        </w:rPr>
        <w:t xml:space="preserve">Renewable Energy Usage:</w:t>
      </w:r>
      <w:r>
        <w:t xml:space="preserve"> </w:t>
      </w:r>
      <w:r>
        <w:t xml:space="preserve">75% (hvhptxvpwr)</w:t>
      </w:r>
    </w:p>
    <w:p>
      <w:pPr>
        <w:numPr>
          <w:ilvl w:val="0"/>
          <w:numId w:val="1002"/>
        </w:numPr>
        <w:pStyle w:val="Compact"/>
      </w:pPr>
      <w:r>
        <w:rPr>
          <w:bCs/>
          <w:b/>
        </w:rPr>
        <w:t xml:space="preserve">Non-renewable Electricity (China grid):</w:t>
      </w:r>
      <w:r>
        <w:t xml:space="preserve"> </w:t>
      </w:r>
      <w:r>
        <w:t xml:space="preserve">0.125 kWh/unit (0.5 kWh * (1 - 0.75))</w:t>
      </w:r>
    </w:p>
    <w:p>
      <w:pPr>
        <w:numPr>
          <w:ilvl w:val="0"/>
          <w:numId w:val="1002"/>
        </w:numPr>
        <w:pStyle w:val="Compact"/>
      </w:pPr>
      <w:r>
        <w:rPr>
          <w:bCs/>
          <w:b/>
        </w:rPr>
        <w:t xml:space="preserve">China Grid Emission Factor:</w:t>
      </w:r>
      <w:r>
        <w:t xml:space="preserve"> </w:t>
      </w:r>
      <w:r>
        <w:t xml:space="preserve">0.6 kg CO2e/kWh</w:t>
      </w:r>
    </w:p>
    <w:bookmarkEnd w:id="24"/>
    <w:bookmarkStart w:id="25" w:name="transportation-data"/>
    <w:p>
      <w:pPr>
        <w:pStyle w:val="Heading3"/>
      </w:pPr>
      <w:r>
        <w:t xml:space="preserve">2.3. Transportation Data</w:t>
      </w:r>
    </w:p>
    <w:p>
      <w:pPr>
        <w:numPr>
          <w:ilvl w:val="0"/>
          <w:numId w:val="1003"/>
        </w:numPr>
        <w:pStyle w:val="Compact"/>
      </w:pPr>
      <w:r>
        <w:rPr>
          <w:bCs/>
          <w:b/>
        </w:rPr>
        <w:t xml:space="preserve">Transport Mode:</w:t>
      </w:r>
      <w:r>
        <w:t xml:space="preserve"> </w:t>
      </w:r>
      <w:r>
        <w:t xml:space="preserve">Select Mode (Assumed combination of Road freight and Ocean freight for upstream and downstream journeys.)</w:t>
      </w:r>
    </w:p>
    <w:p>
      <w:pPr>
        <w:numPr>
          <w:ilvl w:val="0"/>
          <w:numId w:val="1003"/>
        </w:numPr>
        <w:pStyle w:val="Compact"/>
      </w:pPr>
      <w:r>
        <w:rPr>
          <w:bCs/>
          <w:b/>
        </w:rPr>
        <w:t xml:space="preserve">Transport Distance (Upstream):</w:t>
      </w:r>
      <w:r>
        <w:t xml:space="preserve"> </w:t>
      </w:r>
      <w:r>
        <w:t xml:space="preserve">vkuqrewgkk (Assumed: 1000 km Road, 5000 km Ocean for raw materials to factory)</w:t>
      </w:r>
    </w:p>
    <w:p>
      <w:pPr>
        <w:numPr>
          <w:ilvl w:val="0"/>
          <w:numId w:val="1003"/>
        </w:numPr>
        <w:pStyle w:val="Compact"/>
      </w:pPr>
      <w:r>
        <w:rPr>
          <w:bCs/>
          <w:b/>
        </w:rPr>
        <w:t xml:space="preserve">Transport Distance (Downstream):</w:t>
      </w:r>
      <w:r>
        <w:t xml:space="preserve"> </w:t>
      </w:r>
      <w:r>
        <w:t xml:space="preserve">vkuqrewgkk (Assumed: 500 km Road to distribution, 2000 km Ocean from China to Europe, plus last-mile)</w:t>
      </w:r>
    </w:p>
    <w:p>
      <w:pPr>
        <w:numPr>
          <w:ilvl w:val="0"/>
          <w:numId w:val="1003"/>
        </w:numPr>
        <w:pStyle w:val="Compact"/>
      </w:pPr>
      <w:r>
        <w:rPr>
          <w:bCs/>
          <w:b/>
        </w:rPr>
        <w:t xml:space="preserve">Last-Mile Delivery Channel:</w:t>
      </w:r>
      <w:r>
        <w:t xml:space="preserve"> </w:t>
      </w:r>
      <w:r>
        <w:t xml:space="preserve">Delivery Type (Assumed: Parcel Post for final delivery in Europe)</w:t>
      </w:r>
    </w:p>
    <w:p>
      <w:pPr>
        <w:numPr>
          <w:ilvl w:val="0"/>
          <w:numId w:val="1003"/>
        </w:numPr>
        <w:pStyle w:val="Compact"/>
      </w:pPr>
      <w:r>
        <w:rPr>
          <w:bCs/>
          <w:b/>
        </w:rPr>
        <w:t xml:space="preserve">Road Freight Emission Factor:</w:t>
      </w:r>
      <w:r>
        <w:t xml:space="preserve"> </w:t>
      </w:r>
      <w:r>
        <w:t xml:space="preserve">0.09 kg CO2e/tkm</w:t>
      </w:r>
    </w:p>
    <w:p>
      <w:pPr>
        <w:numPr>
          <w:ilvl w:val="0"/>
          <w:numId w:val="1003"/>
        </w:numPr>
        <w:pStyle w:val="Compact"/>
      </w:pPr>
      <w:r>
        <w:rPr>
          <w:bCs/>
          <w:b/>
        </w:rPr>
        <w:t xml:space="preserve">Ocean Freight Emission Factor:</w:t>
      </w:r>
      <w:r>
        <w:t xml:space="preserve"> </w:t>
      </w:r>
      <w:r>
        <w:t xml:space="preserve">0.016 kg CO2e/tkm</w:t>
      </w:r>
    </w:p>
    <w:p>
      <w:pPr>
        <w:numPr>
          <w:ilvl w:val="0"/>
          <w:numId w:val="1003"/>
        </w:numPr>
        <w:pStyle w:val="Compact"/>
      </w:pPr>
      <w:r>
        <w:rPr>
          <w:bCs/>
          <w:b/>
        </w:rPr>
        <w:t xml:space="preserve">Parcel Post (Last Mile) Emission Estimate:</w:t>
      </w:r>
      <w:r>
        <w:t xml:space="preserve"> </w:t>
      </w:r>
      <w:r>
        <w:t xml:space="preserve">0.1 kg CO2e/package (approximate for small package last-mile delivery)</w:t>
      </w:r>
    </w:p>
    <w:p>
      <w:pPr>
        <w:numPr>
          <w:ilvl w:val="0"/>
          <w:numId w:val="1003"/>
        </w:numPr>
        <w:pStyle w:val="Compact"/>
      </w:pPr>
      <w:r>
        <w:rPr>
          <w:bCs/>
          <w:b/>
        </w:rPr>
        <w:t xml:space="preserve">Product Weight for Transport:</w:t>
      </w:r>
      <w:r>
        <w:t xml:space="preserve"> </w:t>
      </w:r>
      <w:r>
        <w:t xml:space="preserve">0.5 kg (0.0005 tonnes)</w:t>
      </w:r>
    </w:p>
    <w:bookmarkEnd w:id="25"/>
    <w:bookmarkStart w:id="26"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5 years (kxqhzxierm)</w:t>
      </w:r>
    </w:p>
    <w:p>
      <w:pPr>
        <w:numPr>
          <w:ilvl w:val="0"/>
          <w:numId w:val="1004"/>
        </w:numPr>
        <w:pStyle w:val="Compact"/>
      </w:pPr>
      <w:r>
        <w:rPr>
          <w:bCs/>
          <w:b/>
        </w:rPr>
        <w:t xml:space="preserve">Energy Consumption in Use:</w:t>
      </w:r>
      <w:r>
        <w:t xml:space="preserve"> </w:t>
      </w:r>
      <w:r>
        <w:t xml:space="preserve">10 kWh/year (vpklwmypot)</w:t>
      </w:r>
    </w:p>
    <w:p>
      <w:pPr>
        <w:numPr>
          <w:ilvl w:val="0"/>
          <w:numId w:val="1004"/>
        </w:numPr>
        <w:pStyle w:val="Compact"/>
      </w:pPr>
      <w:r>
        <w:rPr>
          <w:bCs/>
          <w:b/>
        </w:rPr>
        <w:t xml:space="preserve">European Grid Emission Factor (Use Phase):</w:t>
      </w:r>
      <w:r>
        <w:t xml:space="preserve"> </w:t>
      </w:r>
      <w:r>
        <w:t xml:space="preserve">0.238 kg CO2e/kWh</w:t>
      </w:r>
    </w:p>
    <w:bookmarkEnd w:id="26"/>
    <w:bookmarkStart w:id="27"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80% (dzjprylpwe)</w:t>
      </w:r>
    </w:p>
    <w:p>
      <w:pPr>
        <w:numPr>
          <w:ilvl w:val="0"/>
          <w:numId w:val="1005"/>
        </w:numPr>
        <w:pStyle w:val="Compact"/>
      </w:pPr>
      <w:r>
        <w:rPr>
          <w:bCs/>
          <w:b/>
        </w:rPr>
        <w:t xml:space="preserve">Circular/Take-back Programs:</w:t>
      </w:r>
      <w:r>
        <w:t xml:space="preserve"> </w:t>
      </w:r>
      <w:r>
        <w:t xml:space="preserve">joygekowse (Product take-back program for refurbishment/recycling exists)</w:t>
      </w:r>
    </w:p>
    <w:p>
      <w:pPr>
        <w:numPr>
          <w:ilvl w:val="0"/>
          <w:numId w:val="1005"/>
        </w:numPr>
        <w:pStyle w:val="Compact"/>
      </w:pPr>
      <w:r>
        <w:rPr>
          <w:bCs/>
          <w:b/>
        </w:rPr>
        <w:t xml:space="preserve">Non-recycled Waste:</w:t>
      </w:r>
      <w:r>
        <w:t xml:space="preserve"> </w:t>
      </w:r>
      <w:r>
        <w:t xml:space="preserve">20% of product mass (0.1 kg)</w:t>
      </w:r>
    </w:p>
    <w:p>
      <w:pPr>
        <w:numPr>
          <w:ilvl w:val="0"/>
          <w:numId w:val="1005"/>
        </w:numPr>
        <w:pStyle w:val="Compact"/>
      </w:pPr>
      <w:r>
        <w:rPr>
          <w:bCs/>
          <w:b/>
        </w:rPr>
        <w:t xml:space="preserve">Mixed Waste Disposal Emission Factor:</w:t>
      </w:r>
      <w:r>
        <w:t xml:space="preserve"> </w:t>
      </w:r>
      <w:r>
        <w:t xml:space="preserve">0.5 kg CO2e/kg (approximate for non-recycled waste, blend of landfill/incineration impacts)</w:t>
      </w:r>
    </w:p>
    <w:p>
      <w:r>
        <w:pict>
          <v:rect style="width:0;height:1.5pt" o:hralign="center" o:hrstd="t" o:hr="t"/>
        </w:pict>
      </w:r>
    </w:p>
    <w:bookmarkEnd w:id="27"/>
    <w:bookmarkEnd w:id="28"/>
    <w:bookmarkStart w:id="38" w:name="calculation-of-emissions"/>
    <w:p>
      <w:pPr>
        <w:pStyle w:val="Heading2"/>
      </w:pPr>
      <w:r>
        <w:t xml:space="preserve">4. Calculation of Emissions</w:t>
      </w:r>
    </w:p>
    <w:p>
      <w:pPr>
        <w:pStyle w:val="FirstParagraph"/>
      </w:pPr>
      <w:r>
        <w:t xml:space="preserve">Emissions are calculated per functional unit (1.0 unit of mheotfihgs) following the GHG Protocol, categorizing them into Scope 1, Scope 2, and Scope 3. The 2026 LSR Update principles are applied by selecting emission factors that inherently account for land-use change impacts where applicable, particularly in material sourcing.</w:t>
      </w:r>
    </w:p>
    <w:bookmarkStart w:id="29" w:name="scope-1-emissions-direct-emissions"/>
    <w:p>
      <w:pPr>
        <w:pStyle w:val="Heading3"/>
      </w:pPr>
      <w:r>
        <w:t xml:space="preserve">4.1. Scope 1 Emissions (Direct Emissions)</w:t>
      </w:r>
    </w:p>
    <w:p>
      <w:pPr>
        <w:pStyle w:val="FirstParagraph"/>
      </w:pPr>
      <w:r>
        <w:t xml:space="preserve">For a product carbon footprint within a \'factory_gate\' system boundary, Scope 1 emissions relate to direct greenhouse gas emissions from sources owned or controlled by uixqyrzjwu at the production facility (e.g., combustion in owned boilers, company vehicles). Given the provided parameters and focus on PCF, and without specific direct combustion data, Scope 1 emissions are assumed to be negligible or implicitly covered by upstream processes in the BOM for this product, if they are not from direct on-site fuel combustion for the manufacturing process itself.</w:t>
      </w:r>
    </w:p>
    <w:p>
      <w:pPr>
        <w:numPr>
          <w:ilvl w:val="0"/>
          <w:numId w:val="1006"/>
        </w:numPr>
        <w:pStyle w:val="Compact"/>
      </w:pPr>
      <w:r>
        <w:rPr>
          <w:bCs/>
          <w:b/>
        </w:rPr>
        <w:t xml:space="preserve">Calculated Scope 1 Emissions:</w:t>
      </w:r>
      <w:r>
        <w:t xml:space="preserve"> </w:t>
      </w:r>
      <w:r>
        <w:t xml:space="preserve">0.00 kg CO2e</w:t>
      </w:r>
    </w:p>
    <w:bookmarkEnd w:id="29"/>
    <w:bookmarkStart w:id="30" w:name="scope-2-emissions-purchased-electricity"/>
    <w:p>
      <w:pPr>
        <w:pStyle w:val="Heading3"/>
      </w:pPr>
      <w:r>
        <w:t xml:space="preserve">4.2. Scope 2 Emissions (Purchased Electricity)</w:t>
      </w:r>
    </w:p>
    <w:p>
      <w:pPr>
        <w:pStyle w:val="FirstParagraph"/>
      </w:pPr>
      <w:r>
        <w:t xml:space="preserve">These are indirect emissions from the generation of purchased electricity consumed by uixqyrzjwu during the production of mheotfihgs in China.</w:t>
      </w:r>
    </w:p>
    <w:p>
      <w:pPr>
        <w:numPr>
          <w:ilvl w:val="0"/>
          <w:numId w:val="1007"/>
        </w:numPr>
        <w:pStyle w:val="Compact"/>
      </w:pPr>
      <w:r>
        <w:t xml:space="preserve">Non-renewable electricity consumed: 0.125 kWh/unit</w:t>
      </w:r>
    </w:p>
    <w:p>
      <w:pPr>
        <w:numPr>
          <w:ilvl w:val="0"/>
          <w:numId w:val="1007"/>
        </w:numPr>
        <w:pStyle w:val="Compact"/>
      </w:pPr>
      <w:r>
        <w:t xml:space="preserve">China grid emission factor: 0.6 kg CO2e/kWh</w:t>
      </w:r>
    </w:p>
    <w:p>
      <w:pPr>
        <w:numPr>
          <w:ilvl w:val="0"/>
          <w:numId w:val="1007"/>
        </w:numPr>
        <w:pStyle w:val="Compact"/>
      </w:pPr>
      <w:r>
        <w:rPr>
          <w:bCs/>
          <w:b/>
        </w:rPr>
        <w:t xml:space="preserve">Calculated Scope 2 Emissions:</w:t>
      </w:r>
      <w:r>
        <w:t xml:space="preserve"> </w:t>
      </w:r>
      <w:r>
        <w:t xml:space="preserve">0.125 kWh/unit * 0.6 kg CO2e/kWh = 0.075 kg CO2e</w:t>
      </w:r>
    </w:p>
    <w:bookmarkEnd w:id="30"/>
    <w:bookmarkStart w:id="36"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of uixqyrzjwu, both upstream and downstream. This category ensures greater than 95% coverage for comprehensive reporting.</w:t>
      </w:r>
    </w:p>
    <w:bookmarkStart w:id="31" w:name="Xab9729a0caae076ca89f2f71668734f92723cf2"/>
    <w:p>
      <w:pPr>
        <w:pStyle w:val="Heading4"/>
      </w:pPr>
      <w:r>
        <w:t xml:space="preserve">4.3.1. Category 1: Purchased Goods and Services (Materials)</w:t>
      </w:r>
    </w:p>
    <w:p>
      <w:pPr>
        <w:pStyle w:val="FirstParagraph"/>
      </w:pPr>
      <w:r>
        <w:t xml:space="preserve">Emissions from the extraction, production, and transportation of raw materials and components purchased for mheotfihgs.</w:t>
      </w:r>
    </w:p>
    <w:p>
      <w:pPr>
        <w:numPr>
          <w:ilvl w:val="0"/>
          <w:numId w:val="1008"/>
        </w:numPr>
        <w:pStyle w:val="Compact"/>
      </w:pPr>
      <w:r>
        <w:t xml:space="preserve">Total Material Footprint (from BOM): 5.295 kg CO2e</w:t>
      </w:r>
    </w:p>
    <w:p>
      <w:pPr>
        <w:numPr>
          <w:ilvl w:val="0"/>
          <w:numId w:val="1008"/>
        </w:numPr>
        <w:pStyle w:val="Compact"/>
      </w:pPr>
      <w:r>
        <w:rPr>
          <w:bCs/>
          <w:b/>
        </w:rPr>
        <w:t xml:space="preserve">Calculated Scope 3, Cat 1 Emissions:</w:t>
      </w:r>
      <w:r>
        <w:t xml:space="preserve"> </w:t>
      </w:r>
      <w:r>
        <w:t xml:space="preserve">5.295 kg CO2e</w:t>
      </w:r>
    </w:p>
    <w:bookmarkEnd w:id="31"/>
    <w:bookmarkStart w:id="32"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and components from suppliers to the uixqyrzjwu production facility in China.</w:t>
      </w:r>
    </w:p>
    <w:p>
      <w:pPr>
        <w:numPr>
          <w:ilvl w:val="0"/>
          <w:numId w:val="1009"/>
        </w:numPr>
        <w:pStyle w:val="Compact"/>
      </w:pPr>
      <w:r>
        <w:t xml:space="preserve">Product Weight for Transport: 0.0005 tonnes</w:t>
      </w:r>
    </w:p>
    <w:p>
      <w:pPr>
        <w:numPr>
          <w:ilvl w:val="0"/>
          <w:numId w:val="1009"/>
        </w:numPr>
        <w:pStyle w:val="Compact"/>
      </w:pPr>
      <w:r>
        <w:t xml:space="preserve">Upstream Road Transport: 0.0005 tonnes * 1000 km * 0.09 kgCO2e/tkm = 0.045 kg CO2e</w:t>
      </w:r>
    </w:p>
    <w:p>
      <w:pPr>
        <w:numPr>
          <w:ilvl w:val="0"/>
          <w:numId w:val="1009"/>
        </w:numPr>
        <w:pStyle w:val="Compact"/>
      </w:pPr>
      <w:r>
        <w:t xml:space="preserve">Upstream Ocean Transport: 0.0005 tonnes * 5000 km * 0.016 kgCO2e/tkm = 0.040 kg CO2e</w:t>
      </w:r>
    </w:p>
    <w:p>
      <w:pPr>
        <w:numPr>
          <w:ilvl w:val="0"/>
          <w:numId w:val="1009"/>
        </w:numPr>
        <w:pStyle w:val="Compact"/>
      </w:pPr>
      <w:r>
        <w:rPr>
          <w:bCs/>
          <w:b/>
        </w:rPr>
        <w:t xml:space="preserve">Calculated Scope 3, Cat 4 Emissions:</w:t>
      </w:r>
      <w:r>
        <w:t xml:space="preserve"> </w:t>
      </w:r>
      <w:r>
        <w:t xml:space="preserve">0.045 + 0.040 = 0.085 kg CO2e</w:t>
      </w:r>
    </w:p>
    <w:bookmarkEnd w:id="32"/>
    <w:bookmarkStart w:id="33" w:name="X25a0837e2ca53a982bfb6f58a50970139f4f25f"/>
    <w:p>
      <w:pPr>
        <w:pStyle w:val="Heading4"/>
      </w:pPr>
      <w:r>
        <w:t xml:space="preserve">4.3.3. Category 9: Downstream Transportation and Distribution</w:t>
      </w:r>
    </w:p>
    <w:p>
      <w:pPr>
        <w:pStyle w:val="FirstParagraph"/>
      </w:pPr>
      <w:r>
        <w:t xml:space="preserve">Emissions from the transportation of the finished product mheotfihgs from the uixqyrzjwu factory to the end-consumer in Europe.</w:t>
      </w:r>
    </w:p>
    <w:p>
      <w:pPr>
        <w:numPr>
          <w:ilvl w:val="0"/>
          <w:numId w:val="1010"/>
        </w:numPr>
        <w:pStyle w:val="Compact"/>
      </w:pPr>
      <w:r>
        <w:t xml:space="preserve">Product Weight for Transport: 0.0005 tonnes</w:t>
      </w:r>
    </w:p>
    <w:p>
      <w:pPr>
        <w:numPr>
          <w:ilvl w:val="0"/>
          <w:numId w:val="1010"/>
        </w:numPr>
        <w:pStyle w:val="Compact"/>
      </w:pPr>
      <w:r>
        <w:t xml:space="preserve">Downstream Road (to distribution center): 0.0005 tonnes * 500 km * 0.09 kgCO2e/tkm = 0.0225 kg CO2e</w:t>
      </w:r>
    </w:p>
    <w:p>
      <w:pPr>
        <w:numPr>
          <w:ilvl w:val="0"/>
          <w:numId w:val="1010"/>
        </w:numPr>
        <w:pStyle w:val="Compact"/>
      </w:pPr>
      <w:r>
        <w:t xml:space="preserve">Downstream Ocean (China to Europe): 0.0005 tonnes * 2000 km * 0.016 kgCO2e/tkm = 0.016 kg CO2e</w:t>
      </w:r>
    </w:p>
    <w:p>
      <w:pPr>
        <w:numPr>
          <w:ilvl w:val="0"/>
          <w:numId w:val="1010"/>
        </w:numPr>
        <w:pStyle w:val="Compact"/>
      </w:pPr>
      <w:r>
        <w:t xml:space="preserve">Last-Mile Delivery (Parcel Post): 0.1 kg CO2e/package (estimated)</w:t>
      </w:r>
    </w:p>
    <w:p>
      <w:pPr>
        <w:numPr>
          <w:ilvl w:val="0"/>
          <w:numId w:val="1010"/>
        </w:numPr>
        <w:pStyle w:val="Compact"/>
      </w:pPr>
      <w:r>
        <w:rPr>
          <w:bCs/>
          <w:b/>
        </w:rPr>
        <w:t xml:space="preserve">Calculated Scope 3, Cat 9 Emissions:</w:t>
      </w:r>
      <w:r>
        <w:t xml:space="preserve"> </w:t>
      </w:r>
      <w:r>
        <w:t xml:space="preserve">0.0225 + 0.016 + 0.1 = 0.1385 kg CO2e</w:t>
      </w:r>
    </w:p>
    <w:bookmarkEnd w:id="33"/>
    <w:bookmarkStart w:id="34" w:name="category-11-use-of-sold-products"/>
    <w:p>
      <w:pPr>
        <w:pStyle w:val="Heading4"/>
      </w:pPr>
      <w:r>
        <w:t xml:space="preserve">4.3.4. Category 11: Use of Sold Products</w:t>
      </w:r>
    </w:p>
    <w:p>
      <w:pPr>
        <w:pStyle w:val="FirstParagraph"/>
      </w:pPr>
      <w:r>
        <w:t xml:space="preserve">Emissions arising from the energy consumption during the 5-year lifespan of mheotfihgs.</w:t>
      </w:r>
    </w:p>
    <w:p>
      <w:pPr>
        <w:numPr>
          <w:ilvl w:val="0"/>
          <w:numId w:val="1011"/>
        </w:numPr>
        <w:pStyle w:val="Compact"/>
      </w:pPr>
      <w:r>
        <w:t xml:space="preserve">Total energy consumption over lifespan: 50 kWh (10 kWh/year * 5 years)</w:t>
      </w:r>
    </w:p>
    <w:p>
      <w:pPr>
        <w:numPr>
          <w:ilvl w:val="0"/>
          <w:numId w:val="1011"/>
        </w:numPr>
        <w:pStyle w:val="Compact"/>
      </w:pPr>
      <w:r>
        <w:t xml:space="preserve">European grid emission factor: 0.238 kg CO2e/kWh</w:t>
      </w:r>
    </w:p>
    <w:p>
      <w:pPr>
        <w:numPr>
          <w:ilvl w:val="0"/>
          <w:numId w:val="1011"/>
        </w:numPr>
        <w:pStyle w:val="Compact"/>
      </w:pPr>
      <w:r>
        <w:rPr>
          <w:bCs/>
          <w:b/>
        </w:rPr>
        <w:t xml:space="preserve">Calculated Scope 3, Cat 11 Emissions:</w:t>
      </w:r>
      <w:r>
        <w:t xml:space="preserve"> </w:t>
      </w:r>
      <w:r>
        <w:t xml:space="preserve">50 kWh * 0.238 kg CO2e/kWh = 11.900 kg CO2e</w:t>
      </w:r>
    </w:p>
    <w:bookmarkEnd w:id="34"/>
    <w:bookmarkStart w:id="35" w:name="X9f66eef2700632e081dfe139021cb724ffcd2c5"/>
    <w:p>
      <w:pPr>
        <w:pStyle w:val="Heading4"/>
      </w:pPr>
      <w:r>
        <w:t xml:space="preserve">4.3.5. Category 12: End-of-Life Treatment of Sold Products</w:t>
      </w:r>
    </w:p>
    <w:p>
      <w:pPr>
        <w:pStyle w:val="FirstParagraph"/>
      </w:pPr>
      <w:r>
        <w:t xml:space="preserve">Emissions from the disposal and treatment of mheotfihgs at the end of its life, considering its recyclability and the presence of circular programs.</w:t>
      </w:r>
    </w:p>
    <w:p>
      <w:pPr>
        <w:numPr>
          <w:ilvl w:val="0"/>
          <w:numId w:val="1012"/>
        </w:numPr>
        <w:pStyle w:val="Compact"/>
      </w:pPr>
      <w:r>
        <w:t xml:space="preserve">Non-recycled product mass: 0.1 kg (20% of 0.5 kg total product weight)</w:t>
      </w:r>
    </w:p>
    <w:p>
      <w:pPr>
        <w:numPr>
          <w:ilvl w:val="0"/>
          <w:numId w:val="1012"/>
        </w:numPr>
        <w:pStyle w:val="Compact"/>
      </w:pPr>
      <w:r>
        <w:t xml:space="preserve">Mixed waste disposal emission factor: 0.5 kg CO2e/kg</w:t>
      </w:r>
    </w:p>
    <w:p>
      <w:pPr>
        <w:numPr>
          <w:ilvl w:val="0"/>
          <w:numId w:val="1012"/>
        </w:numPr>
        <w:pStyle w:val="Compact"/>
      </w:pPr>
      <w:r>
        <w:rPr>
          <w:bCs/>
          <w:b/>
        </w:rPr>
        <w:t xml:space="preserve">Calculated Scope 3, Cat 12 Emissions:</w:t>
      </w:r>
      <w:r>
        <w:t xml:space="preserve"> </w:t>
      </w:r>
      <w:r>
        <w:t xml:space="preserve">0.1 kg * 0.5 kg CO2e/kg = 0.050 kg CO2e</w:t>
      </w:r>
    </w:p>
    <w:p>
      <w:pPr>
        <w:numPr>
          <w:ilvl w:val="0"/>
          <w:numId w:val="1012"/>
        </w:numPr>
        <w:pStyle w:val="Compact"/>
      </w:pPr>
      <w:r>
        <w:t xml:space="preserve">The existence of "joygekowse" (circular/take-back programs) implies proactive end-of-life management by uixqyrzjwu, which can significantly reduce the overall EoL impact, even if not fully quantified as credits here.</w:t>
      </w:r>
    </w:p>
    <w:bookmarkEnd w:id="35"/>
    <w:bookmarkEnd w:id="36"/>
    <w:bookmarkStart w:id="37"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Scope/Category</w:t>
            </w:r>
          </w:p>
        </w:tc>
        <w:tc>
          <w:tcPr/>
          <w:p>
            <w:pPr>
              <w:pStyle w:val="Compact"/>
              <w:jc w:val="left"/>
            </w:pPr>
            <w:r>
              <w:t xml:space="preserve">Description</w:t>
            </w:r>
          </w:p>
        </w:tc>
        <w:tc>
          <w:tcPr/>
          <w:p>
            <w:pPr>
              <w:pStyle w:val="Compact"/>
              <w:jc w:val="left"/>
            </w:pPr>
            <w:r>
              <w:t xml:space="preserve">CO2e (kg)</w:t>
            </w:r>
          </w:p>
        </w:tc>
      </w:tr>
      <w:tr>
        <w:tc>
          <w:tcPr/>
          <w:p>
            <w:pPr>
              <w:pStyle w:val="Compact"/>
              <w:jc w:val="left"/>
            </w:pPr>
            <w:r>
              <w:rPr>
                <w:bCs/>
                <w:b/>
              </w:rPr>
              <w:t xml:space="preserve">Scope 1</w:t>
            </w:r>
          </w:p>
        </w:tc>
        <w:tc>
          <w:tcPr/>
          <w:p>
            <w:pPr>
              <w:pStyle w:val="Compact"/>
              <w:jc w:val="left"/>
            </w:pPr>
            <w:r>
              <w:t xml:space="preserve">Direct Emissions (negligible for PCF factory-gate)</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0.075</w:t>
            </w:r>
          </w:p>
        </w:tc>
      </w:tr>
      <w:tr>
        <w:tc>
          <w:tcPr>
            <w:gridSpan w:val="3"/>
          </w:tcPr>
          <w:p>
            <w:pPr>
              <w:pStyle w:val="Compact"/>
              <w:jc w:val="left"/>
            </w:pPr>
            <w:r>
              <w:rPr>
                <w:bCs/>
                <w:b/>
              </w:rPr>
              <w:t xml:space="preserve">Scope 3 (Value Chain Emissions)</w:t>
            </w:r>
          </w:p>
        </w:tc>
      </w:tr>
      <w:tr>
        <w:tc>
          <w:tcPr/>
          <w:p>
            <w:pPr>
              <w:pStyle w:val="Compact"/>
              <w:jc w:val="left"/>
            </w:pPr>
            <w:r>
              <w:t xml:space="preserve">   Cat 1</w:t>
            </w:r>
          </w:p>
        </w:tc>
        <w:tc>
          <w:tcPr/>
          <w:p>
            <w:pPr>
              <w:pStyle w:val="Compact"/>
              <w:jc w:val="left"/>
            </w:pPr>
            <w:r>
              <w:t xml:space="preserve">Purchased Goods &amp; Services (Materials)</w:t>
            </w:r>
          </w:p>
        </w:tc>
        <w:tc>
          <w:tcPr/>
          <w:p>
            <w:pPr>
              <w:pStyle w:val="Compact"/>
              <w:jc w:val="left"/>
            </w:pPr>
            <w:r>
              <w:t xml:space="preserve">5.295</w:t>
            </w:r>
          </w:p>
        </w:tc>
      </w:tr>
      <w:tr>
        <w:tc>
          <w:tcPr/>
          <w:p>
            <w:pPr>
              <w:pStyle w:val="Compact"/>
              <w:jc w:val="left"/>
            </w:pPr>
            <w:r>
              <w:t xml:space="preserve">   Cat 4</w:t>
            </w:r>
          </w:p>
        </w:tc>
        <w:tc>
          <w:tcPr/>
          <w:p>
            <w:pPr>
              <w:pStyle w:val="Compact"/>
              <w:jc w:val="left"/>
            </w:pPr>
            <w:r>
              <w:t xml:space="preserve">Upstream Transportation &amp; Distribution</w:t>
            </w:r>
          </w:p>
        </w:tc>
        <w:tc>
          <w:tcPr/>
          <w:p>
            <w:pPr>
              <w:pStyle w:val="Compact"/>
              <w:jc w:val="left"/>
            </w:pPr>
            <w:r>
              <w:t xml:space="preserve">0.085</w:t>
            </w:r>
          </w:p>
        </w:tc>
      </w:tr>
      <w:tr>
        <w:tc>
          <w:tcPr/>
          <w:p>
            <w:pPr>
              <w:pStyle w:val="Compact"/>
              <w:jc w:val="left"/>
            </w:pPr>
            <w:r>
              <w:t xml:space="preserve">   Cat 9</w:t>
            </w:r>
          </w:p>
        </w:tc>
        <w:tc>
          <w:tcPr/>
          <w:p>
            <w:pPr>
              <w:pStyle w:val="Compact"/>
              <w:jc w:val="left"/>
            </w:pPr>
            <w:r>
              <w:t xml:space="preserve">Downstream Transportation &amp; Distribution</w:t>
            </w:r>
          </w:p>
        </w:tc>
        <w:tc>
          <w:tcPr/>
          <w:p>
            <w:pPr>
              <w:pStyle w:val="Compact"/>
              <w:jc w:val="left"/>
            </w:pPr>
            <w:r>
              <w:t xml:space="preserve">0.1385</w:t>
            </w:r>
          </w:p>
        </w:tc>
      </w:tr>
      <w:tr>
        <w:tc>
          <w:tcPr/>
          <w:p>
            <w:pPr>
              <w:pStyle w:val="Compact"/>
              <w:jc w:val="left"/>
            </w:pPr>
            <w:r>
              <w:t xml:space="preserve">   Cat 11</w:t>
            </w:r>
          </w:p>
        </w:tc>
        <w:tc>
          <w:tcPr/>
          <w:p>
            <w:pPr>
              <w:pStyle w:val="Compact"/>
              <w:jc w:val="left"/>
            </w:pPr>
            <w:r>
              <w:t xml:space="preserve">Use of Sold Products</w:t>
            </w:r>
          </w:p>
        </w:tc>
        <w:tc>
          <w:tcPr/>
          <w:p>
            <w:pPr>
              <w:pStyle w:val="Compact"/>
              <w:jc w:val="left"/>
            </w:pPr>
            <w:r>
              <w:t xml:space="preserve">11.900</w:t>
            </w:r>
          </w:p>
        </w:tc>
      </w:tr>
      <w:tr>
        <w:tc>
          <w:tcPr/>
          <w:p>
            <w:pPr>
              <w:pStyle w:val="Compact"/>
              <w:jc w:val="left"/>
            </w:pPr>
            <w:r>
              <w:t xml:space="preserve">   Cat 12</w:t>
            </w:r>
          </w:p>
        </w:tc>
        <w:tc>
          <w:tcPr/>
          <w:p>
            <w:pPr>
              <w:pStyle w:val="Compact"/>
              <w:jc w:val="left"/>
            </w:pPr>
            <w:r>
              <w:t xml:space="preserve">End-of-Life Treatment of Sold Products</w:t>
            </w:r>
          </w:p>
        </w:tc>
        <w:tc>
          <w:tcPr/>
          <w:p>
            <w:pPr>
              <w:pStyle w:val="Compact"/>
              <w:jc w:val="left"/>
            </w:pPr>
            <w:r>
              <w:t xml:space="preserve">0.050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17.5435 kg CO2e</w:t>
            </w:r>
          </w:p>
        </w:tc>
      </w:tr>
    </w:tbl>
    <w:p>
      <w:pPr>
        <w:pStyle w:val="BodyText"/>
      </w:pPr>
      <w:r>
        <w:rPr>
          <w:bCs/>
          <w:b/>
        </w:rPr>
        <w:t xml:space="preserve">Total PCF for 1.0 unit of mheotfihgs: 17.54 kg CO2e</w:t>
      </w:r>
    </w:p>
    <w:p>
      <w:r>
        <w:pict>
          <v:rect style="width:0;height:1.5pt" o:hralign="center" o:hrstd="t" o:hr="t"/>
        </w:pict>
      </w:r>
    </w:p>
    <w:bookmarkEnd w:id="37"/>
    <w:bookmarkEnd w:id="38"/>
    <w:bookmarkStart w:id="42" w:name="review-report-hotspots-and-reliability"/>
    <w:p>
      <w:pPr>
        <w:pStyle w:val="Heading2"/>
      </w:pPr>
      <w:r>
        <w:t xml:space="preserve">5. Review &amp; Report: Hotspots and Reliability</w:t>
      </w:r>
    </w:p>
    <w:bookmarkStart w:id="39" w:name="emission-hotspots-identification"/>
    <w:p>
      <w:pPr>
        <w:pStyle w:val="Heading3"/>
      </w:pPr>
      <w:r>
        <w:t xml:space="preserve">5.1. Emission Hotspots Identification</w:t>
      </w:r>
    </w:p>
    <w:p>
      <w:pPr>
        <w:pStyle w:val="FirstParagraph"/>
      </w:pPr>
      <w:r>
        <w:t xml:space="preserve">The analysis reveals the following major hotspots in the lifecycle of \'mheotfihgs\':</w:t>
      </w:r>
    </w:p>
    <w:p>
      <w:pPr>
        <w:numPr>
          <w:ilvl w:val="0"/>
          <w:numId w:val="1013"/>
        </w:numPr>
        <w:pStyle w:val="Compact"/>
      </w:pPr>
      <w:r>
        <w:rPr>
          <w:bCs/>
          <w:b/>
        </w:rPr>
        <w:t xml:space="preserve">Use Phase (11.90 kg CO2e):</w:t>
      </w:r>
      <w:r>
        <w:t xml:space="preserve"> </w:t>
      </w:r>
      <w:r>
        <w:t xml:space="preserve">This is the dominant hotspot, accounting for approximately 67.8% of the total PCF. The electricity consumption during the product\'s 5-year lifespan significantly contributes to its overall footprint.</w:t>
      </w:r>
    </w:p>
    <w:p>
      <w:pPr>
        <w:numPr>
          <w:ilvl w:val="0"/>
          <w:numId w:val="1013"/>
        </w:numPr>
        <w:pStyle w:val="Compact"/>
      </w:pPr>
      <w:r>
        <w:rPr>
          <w:bCs/>
          <w:b/>
        </w:rPr>
        <w:t xml:space="preserve">Materials (5.295 kg CO2e):</w:t>
      </w:r>
      <w:r>
        <w:t xml:space="preserve"> </w:t>
      </w:r>
      <w:r>
        <w:t xml:space="preserve">Purchased goods and services, primarily raw materials like Aluminum Casing and Electronic Components, represent the second largest hotspot, contributing around 30.2% of the total PCF.</w:t>
      </w:r>
    </w:p>
    <w:p>
      <w:pPr>
        <w:numPr>
          <w:ilvl w:val="0"/>
          <w:numId w:val="1013"/>
        </w:numPr>
        <w:pStyle w:val="Compact"/>
      </w:pPr>
      <w:r>
        <w:rPr>
          <w:bCs/>
          <w:b/>
        </w:rPr>
        <w:t xml:space="preserve">Production Energy (0.075 kg CO2e):</w:t>
      </w:r>
      <w:r>
        <w:t xml:space="preserve"> </w:t>
      </w:r>
      <w:r>
        <w:t xml:space="preserve">While less significant than use phase and materials, the electricity consumed during manufacturing in China contributes a measurable amount.</w:t>
      </w:r>
    </w:p>
    <w:p>
      <w:pPr>
        <w:numPr>
          <w:ilvl w:val="0"/>
          <w:numId w:val="1013"/>
        </w:numPr>
        <w:pStyle w:val="Compact"/>
      </w:pPr>
      <w:r>
        <w:rPr>
          <w:bCs/>
          <w:b/>
        </w:rPr>
        <w:t xml:space="preserve">Transportation (Upstream &amp; Downstream) and End-of-Life:</w:t>
      </w:r>
      <w:r>
        <w:t xml:space="preserve"> </w:t>
      </w:r>
      <w:r>
        <w:t xml:space="preserve">These stages have comparatively lower impacts, collectively contributing less than 2% of the total PCF.</w:t>
      </w:r>
    </w:p>
    <w:bookmarkEnd w:id="39"/>
    <w:bookmarkStart w:id="40" w:name="reliability-and-limitations"/>
    <w:p>
      <w:pPr>
        <w:pStyle w:val="Heading3"/>
      </w:pPr>
      <w:r>
        <w:t xml:space="preserve">5.2. Reliability and Limitations</w:t>
      </w:r>
    </w:p>
    <w:p>
      <w:pPr>
        <w:pStyle w:val="FirstParagraph"/>
      </w:pPr>
      <w:r>
        <w:t xml:space="preserve">This report is based on a mix of primary data (BOM, energy usage, lifespan) and secondary, industry-average emission factors (transportation, grid electricity, end-of-life disposal).</w:t>
      </w:r>
    </w:p>
    <w:p>
      <w:pPr>
        <w:numPr>
          <w:ilvl w:val="0"/>
          <w:numId w:val="1014"/>
        </w:numPr>
        <w:pStyle w:val="Compact"/>
      </w:pPr>
      <w:r>
        <w:rPr>
          <w:bCs/>
          <w:b/>
        </w:rPr>
        <w:t xml:space="preserve">Data Specificity:</w:t>
      </w:r>
      <w:r>
        <w:t xml:space="preserve"> </w:t>
      </w:r>
      <w:r>
        <w:t xml:space="preserve">The provided Detailed Bill of Materials (BOM) greatly enhances accuracy for material impacts. However, some transport and end-of-life factors are based on industry averages due to the generalized nature of the input parameters ("Select Mode", "Delivery Type", etc.).</w:t>
      </w:r>
    </w:p>
    <w:p>
      <w:pPr>
        <w:numPr>
          <w:ilvl w:val="0"/>
          <w:numId w:val="1014"/>
        </w:numPr>
        <w:pStyle w:val="Compact"/>
      </w:pPr>
      <w:r>
        <w:rPr>
          <w:bCs/>
          <w:b/>
        </w:rPr>
        <w:t xml:space="preserve">LSR Standard:</w:t>
      </w:r>
      <w:r>
        <w:t xml:space="preserve"> </w:t>
      </w:r>
      <w:r>
        <w:t xml:space="preserve">The Land Sector and Removals (LSR) Standard update principles have been considered by using comprehensive emission factors where available. However, without specific land-use change data for each material source, a direct, granular application of LSR for every component is challenging in a generalized assessment.</w:t>
      </w:r>
    </w:p>
    <w:p>
      <w:pPr>
        <w:numPr>
          <w:ilvl w:val="0"/>
          <w:numId w:val="1014"/>
        </w:numPr>
        <w:pStyle w:val="Compact"/>
      </w:pPr>
      <w:r>
        <w:rPr>
          <w:bCs/>
          <w:b/>
        </w:rPr>
        <w:t xml:space="preserve">Scope 3 Coverage:</w:t>
      </w:r>
      <w:r>
        <w:t xml:space="preserve"> </w:t>
      </w:r>
      <w:r>
        <w:t xml:space="preserve">The methodology covers all major Scope 3 categories relevant to a product\'s lifecycle (materials, transport, use, EoL), ensuring strong compliance with the 95% coverage requirement.</w:t>
      </w:r>
    </w:p>
    <w:p>
      <w:pPr>
        <w:numPr>
          <w:ilvl w:val="0"/>
          <w:numId w:val="1014"/>
        </w:numPr>
        <w:pStyle w:val="Compact"/>
      </w:pPr>
      <w:r>
        <w:rPr>
          <w:bCs/>
          <w:b/>
        </w:rPr>
        <w:t xml:space="preserve">Assumptions:</w:t>
      </w:r>
      <w:r>
        <w:t xml:space="preserve"> </w:t>
      </w:r>
      <w:r>
        <w:t xml:space="preserve">Assumptions were made for placeholder data such as specific transport distances and last-mile delivery modes to enable calculation. Real-world values could lead to slight variations.</w:t>
      </w:r>
    </w:p>
    <w:bookmarkEnd w:id="40"/>
    <w:bookmarkStart w:id="41" w:name="recommendations-for-emission-reduction"/>
    <w:p>
      <w:pPr>
        <w:pStyle w:val="Heading3"/>
      </w:pPr>
      <w:r>
        <w:t xml:space="preserve">5.3. Recommendations for Emission Reduction</w:t>
      </w:r>
    </w:p>
    <w:p>
      <w:pPr>
        <w:pStyle w:val="FirstParagraph"/>
      </w:pPr>
      <w:r>
        <w:t xml:space="preserve">Based on the identified hotspots, xmzyogkyfs recommends the following strategies for uixqyrzjwu to reduce the carbon footprint of mheotfihgs:</w:t>
      </w:r>
    </w:p>
    <w:p>
      <w:pPr>
        <w:numPr>
          <w:ilvl w:val="0"/>
          <w:numId w:val="1015"/>
        </w:numPr>
        <w:pStyle w:val="Compact"/>
      </w:pPr>
      <w:r>
        <w:rPr>
          <w:bCs/>
          <w:b/>
        </w:rPr>
        <w:t xml:space="preserve">Optimize Use Phase:</w:t>
      </w:r>
      <w:r>
        <w:t xml:space="preserve"> </w:t>
      </w:r>
      <w:r>
        <w:t xml:space="preserve">Invest in R&amp;D for more energy-efficient designs to reduce the product\'s energy consumption during its lifespan (vpklwmypot). Promote renewable energy adoption by end-users or offer renewable energy offsets for product use.</w:t>
      </w:r>
    </w:p>
    <w:p>
      <w:pPr>
        <w:numPr>
          <w:ilvl w:val="0"/>
          <w:numId w:val="1015"/>
        </w:numPr>
        <w:pStyle w:val="Compact"/>
      </w:pPr>
      <w:r>
        <w:rPr>
          <w:bCs/>
          <w:b/>
        </w:rPr>
        <w:t xml:space="preserve">Material Decarbonization:</w:t>
      </w:r>
      <w:r>
        <w:t xml:space="preserve"> </w:t>
      </w:r>
      <w:r>
        <w:t xml:space="preserve">Engage with suppliers to source lower-carbon aluminum, plastics, and electronic components. Explore alternative materials with inherently lower footprints or increased recycled content.</w:t>
      </w:r>
    </w:p>
    <w:p>
      <w:pPr>
        <w:numPr>
          <w:ilvl w:val="0"/>
          <w:numId w:val="1015"/>
        </w:numPr>
        <w:pStyle w:val="Compact"/>
      </w:pPr>
      <w:r>
        <w:rPr>
          <w:bCs/>
          <w:b/>
        </w:rPr>
        <w:t xml:space="preserve">Enhance Circularity:</w:t>
      </w:r>
      <w:r>
        <w:t xml:space="preserve"> </w:t>
      </w:r>
      <w:r>
        <w:t xml:space="preserve">Leverage and expand the existing "joygekowse" circular/take-back programs to maximize refurbishment and recycling rates beyond the current 80%, further reducing end-of-life impacts and creating closed-loop material flows.</w:t>
      </w:r>
    </w:p>
    <w:p>
      <w:pPr>
        <w:numPr>
          <w:ilvl w:val="0"/>
          <w:numId w:val="1015"/>
        </w:numPr>
        <w:pStyle w:val="Compact"/>
      </w:pPr>
      <w:r>
        <w:rPr>
          <w:bCs/>
          <w:b/>
        </w:rPr>
        <w:t xml:space="preserve">Renewable Energy in Production:</w:t>
      </w:r>
      <w:r>
        <w:t xml:space="preserve"> </w:t>
      </w:r>
      <w:r>
        <w:t xml:space="preserve">Continuously increase renewable energy procurement (beyond 75% hvhptxvpwr) for manufacturing operations in China to further reduce Scope 2 emissions.</w: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mheotfihgs</dc:title>
  <dc:creator/>
  <dc:description>High-detail Product Carbon Footprint (PCF) analysis report for product mheotfihgs by Senior Sustainability Consultant xmzyogkyfs for company uixqyrzjwu, adhering to GHG Protocol and 2026 LSR Update.</dc:description>
  <dc:language>en</dc:language>
  <cp:keywords/>
  <dcterms:created xsi:type="dcterms:W3CDTF">2026-05-30T20:13:58Z</dcterms:created>
  <dcterms:modified xsi:type="dcterms:W3CDTF">2026-05-30T20:13:58Z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