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mghfqhumup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mghfqhumup</w:t>
      </w:r>
    </w:p>
    <w:p>
      <w:pPr>
        <w:pStyle w:val="BodyText"/>
      </w:pPr>
      <w:r>
        <w:rPr>
          <w:bCs/>
          <w:b/>
        </w:rPr>
        <w:t xml:space="preserve">Company Name:</w:t>
      </w:r>
      <w:r>
        <w:t xml:space="preserve"> </w:t>
      </w:r>
      <w:r>
        <w:t xml:space="preserve">exuwyxolok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inxwpgqmqm</w:t>
      </w:r>
    </w:p>
    <w:p>
      <w:pPr>
        <w:pStyle w:val="BodyText"/>
      </w:pPr>
      <w:r>
        <w:t xml:space="preserve">This report is generated based on available data and industry standards, providing an estimate of the product\'s carbon footprint.</w:t>
      </w:r>
    </w:p>
    <w:bookmarkEnd w:id="20"/>
    <w:bookmarkStart w:id="21" w:name="X08fee73f08a391800e77295cc725d69cc2665cc"/>
    <w:p>
      <w:pPr>
        <w:pStyle w:val="Heading1"/>
      </w:pPr>
      <w:r>
        <w:t xml:space="preserve">Product Carbon Footprint Analysis for mghfqhumup</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"mghfqhumup" manufactured by "exuwyxolok". Conducted by Senior Sustainability Consultant "inxwpgqmqm" and adhering to the GHG Protocol, this analysis quantifies the greenhouse gas (GHG) emissions across the product\'s lifecycle from a factory-gate perspective, with specific attention to a Europe-focused supply chain and final production in China. The study incorporates detailed Bill of Materials (BOM) data, custom energy usage, transportation logistics, and end-of-life scenarios to provide a comprehensive understanding of environmental impact. Key findings highlight emission hotspots and areas for potential reduction, aligning with the 2026 Land Sector and Removals (LSR) Standard update and stringent Scope 3 reporting requirements.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in accordance with the GHG Protocol Product Standard.</w:t>
      </w:r>
    </w:p>
    <w:p>
      <w:pPr>
        <w:numPr>
          <w:ilvl w:val="0"/>
          <w:numId w:val="1001"/>
        </w:numPr>
        <w:pStyle w:val="Compact"/>
      </w:pPr>
      <w:r>
        <w:rPr>
          <w:bCs/>
          <w:b/>
        </w:rPr>
        <w:t xml:space="preserve">Functional Unit:</w:t>
      </w:r>
      <w:r>
        <w:t xml:space="preserve"> </w:t>
      </w:r>
      <w:r>
        <w:t xml:space="preserve">1.0 unit of mghfqhumup.</w:t>
      </w:r>
    </w:p>
    <w:p>
      <w:pPr>
        <w:numPr>
          <w:ilvl w:val="0"/>
          <w:numId w:val="1001"/>
        </w:numPr>
        <w:pStyle w:val="Compact"/>
      </w:pPr>
      <w:r>
        <w:rPr>
          <w:bCs/>
          <w:b/>
        </w:rPr>
        <w:t xml:space="preserve">System Boundary:</w:t>
      </w:r>
      <w:r>
        <w:t xml:space="preserve"> </w:t>
      </w:r>
      <w:r>
        <w:t xml:space="preserve">"factory_gate" – encompassing all cradle-to-gate emissions up to the point the finished product leaves the manufacturing facility. This includes raw material extraction, material processing, manufacturing, and associated transportation. Emissions from the use phase and end-of-life are also calculated to provide a more holistic view but are reported separately from the core "factory_gate" boundary for clarity.</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The use phase and end-of-life scenarios consider a typical European user context.</w:t>
      </w:r>
    </w:p>
    <w:p>
      <w:pPr>
        <w:numPr>
          <w:ilvl w:val="0"/>
          <w:numId w:val="1001"/>
        </w:numPr>
        <w:pStyle w:val="Compact"/>
      </w:pPr>
      <w:r>
        <w:rPr>
          <w:bCs/>
          <w:b/>
        </w:rPr>
        <w:t xml:space="preserve">Allocation:</w:t>
      </w:r>
      <w:r>
        <w:t xml:space="preserve"> </w:t>
      </w:r>
      <w:r>
        <w:t xml:space="preserve">Emissions are allocated directly to the functional unit of mghfqhumup based on mass and activity data, ensuring no double-counting. For multi-product processes, economic allocation is applied where appropriate, although direct attribution is prioritized.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Standard. Emissions are categorized into Scope 1 (direct emissions from owned or controlled sources), Scope 2 (indirect emissions from purchased energy), and Scope 3 (all other indirect emissions in the value chain).</w:t>
      </w:r>
    </w:p>
    <w:p>
      <w:r>
        <w:pict>
          <v:rect style="width:0;height:1.5pt" o:hralign="center" o:hrstd="t" o:hr="t"/>
        </w:pict>
      </w:r>
    </w:p>
    <w:bookmarkEnd w:id="23"/>
    <w:bookmarkStart w:id="25" w:name="lifecycle-mapping-lci-inventory-stages"/>
    <w:p>
      <w:pPr>
        <w:pStyle w:val="Heading2"/>
      </w:pPr>
      <w:r>
        <w:t xml:space="preserve">2. Lifecycle Mapping (LCI Inventory Stages)</w:t>
      </w:r>
    </w:p>
    <w:p>
      <w:pPr>
        <w:pStyle w:val="FirstParagraph"/>
      </w:pPr>
      <w:r>
        <w:t xml:space="preserve">The lifecycle of mghfqhumup has been mapped into the following stages, providing a framework for inventory data collection and emission calculation:</w:t>
      </w:r>
    </w:p>
    <w:p>
      <w:pPr>
        <w:numPr>
          <w:ilvl w:val="0"/>
          <w:numId w:val="1002"/>
        </w:numPr>
        <w:pStyle w:val="Compact"/>
      </w:pPr>
      <w:r>
        <w:rPr>
          <w:bCs/>
          <w:b/>
        </w:rPr>
        <w:t xml:space="preserve">Material Acquisition &amp; Pre-processing (Scope 3 - Upstream):</w:t>
      </w:r>
      <w:r>
        <w:t xml:space="preserve"> </w:t>
      </w:r>
      <w:r>
        <w:t xml:space="preserve">Extraction of raw materials, processing of these materials into components, and manufacturing of sub-assemblies. This includes all activities associated with the "gdujwuhv" Bill of Materials.</w:t>
      </w:r>
    </w:p>
    <w:p>
      <w:pPr>
        <w:numPr>
          <w:ilvl w:val="0"/>
          <w:numId w:val="1002"/>
        </w:numPr>
        <w:pStyle w:val="Compact"/>
      </w:pPr>
      <w:r>
        <w:rPr>
          <w:bCs/>
          <w:b/>
        </w:rPr>
        <w:t xml:space="preserve">Production (Scope 1 &amp; 2):</w:t>
      </w:r>
      <w:r>
        <w:t xml:space="preserve"> </w:t>
      </w:r>
      <w:r>
        <w:t xml:space="preserve">Manufacturing of mghfqhumup at the "exuwyxolok" facility in China. This stage includes direct emissions from owned/controlled sources (Scope 1) and indirect emissions from purchased electricity (Scope 2).</w:t>
      </w:r>
    </w:p>
    <w:p>
      <w:pPr>
        <w:numPr>
          <w:ilvl w:val="0"/>
          <w:numId w:val="1002"/>
        </w:numPr>
        <w:pStyle w:val="Compact"/>
      </w:pPr>
      <w:r>
        <w:rPr>
          <w:bCs/>
          <w:b/>
        </w:rPr>
        <w:t xml:space="preserve">Transportation (Scope 3 - Upstream):</w:t>
      </w:r>
      <w:r>
        <w:t xml:space="preserve"> </w:t>
      </w:r>
      <w:r>
        <w:t xml:space="preserve">Transportation of raw materials and components from European suppliers to the manufacturing facility in China.</w:t>
      </w:r>
    </w:p>
    <w:p>
      <w:pPr>
        <w:numPr>
          <w:ilvl w:val="0"/>
          <w:numId w:val="1002"/>
        </w:numPr>
        <w:pStyle w:val="Compact"/>
      </w:pPr>
      <w:r>
        <w:rPr>
          <w:bCs/>
          <w:b/>
        </w:rPr>
        <w:t xml:space="preserve">Use Phase (Scope 3 - Downstream):</w:t>
      </w:r>
      <w:r>
        <w:t xml:space="preserve"> </w:t>
      </w:r>
      <w:r>
        <w:t xml:space="preserve">Energy consumption of mghfqhumup during its estimated lifespan.</w:t>
      </w:r>
    </w:p>
    <w:p>
      <w:pPr>
        <w:numPr>
          <w:ilvl w:val="0"/>
          <w:numId w:val="1002"/>
        </w:numPr>
        <w:pStyle w:val="Compact"/>
      </w:pPr>
      <w:r>
        <w:rPr>
          <w:bCs/>
          <w:b/>
        </w:rPr>
        <w:t xml:space="preserve">End-of-Life (EoL) (Scope 3 - Downstream):</w:t>
      </w:r>
      <w:r>
        <w:t xml:space="preserve"> </w:t>
      </w:r>
      <w:r>
        <w:t xml:space="preserve">Disposal and/or recycling processes for mghfqhumup after its functional lifespan. This also considers impacts from "Circular/Take-back Programs".</w:t>
      </w:r>
    </w:p>
    <w:bookmarkStart w:id="24" w:name="X375f90d34e2738bf774185f3c83efd090ce459a"/>
    <w:p>
      <w:pPr>
        <w:pStyle w:val="Heading3"/>
      </w:pPr>
      <w:r>
        <w:t xml:space="preserve">Detailed Breakdown of Materials and Energy Inputs</w:t>
      </w:r>
    </w:p>
    <w:p>
      <w:pPr>
        <w:pStyle w:val="FirstParagraph"/>
      </w:pPr>
      <w:r>
        <w:t xml:space="preserve">The following table presents a detailed breakdown of the materials used in "mghfqhumup" based on the provided Bill of Materials (BOM) "gdujwuhv". The \'Total Carbon\' values, as provided in the BOM data, are directly used for calculating the material acquisition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2.2</w:t>
            </w:r>
          </w:p>
        </w:tc>
        <w:tc>
          <w:tcPr/>
          <w:p>
            <w:pPr>
              <w:pStyle w:val="Compact"/>
              <w:jc w:val="left"/>
            </w:pPr>
            <w:r>
              <w:t xml:space="preserve">0.44</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Footprint:</w:t>
      </w:r>
      <w:r>
        <w:t xml:space="preserve"> </w:t>
      </w:r>
      <w:r>
        <w:t xml:space="preserve">1.98 kgCO2e</w:t>
      </w:r>
    </w:p>
    <w:p>
      <w:pPr>
        <w:pStyle w:val="BodyText"/>
      </w:pPr>
      <w:r>
        <w:t xml:space="preserve">Energy inputs for the production phase are customized using the provided parameters.</w:t>
      </w:r>
    </w:p>
    <w:p>
      <w:pPr>
        <w:numPr>
          <w:ilvl w:val="0"/>
          <w:numId w:val="1003"/>
        </w:numPr>
        <w:pStyle w:val="Compact"/>
      </w:pPr>
      <w:r>
        <w:rPr>
          <w:bCs/>
          <w:b/>
        </w:rPr>
        <w:t xml:space="preserve">Renewable Energy Usage:</w:t>
      </w:r>
      <w:r>
        <w:t xml:space="preserve"> </w:t>
      </w:r>
      <w:r>
        <w:t xml:space="preserve">szrueylkuf (e.g., 75%)</w:t>
      </w:r>
    </w:p>
    <w:p>
      <w:pPr>
        <w:numPr>
          <w:ilvl w:val="0"/>
          <w:numId w:val="1003"/>
        </w:numPr>
        <w:pStyle w:val="Compact"/>
      </w:pPr>
      <w:r>
        <w:rPr>
          <w:bCs/>
          <w:b/>
        </w:rPr>
        <w:t xml:space="preserve">Energy Intensity (kWh/unit):</w:t>
      </w:r>
      <w:r>
        <w:t xml:space="preserve"> </w:t>
      </w:r>
      <w:r>
        <w:t xml:space="preserve">odtuohwwwy (e.g., 15 kWh/unit)</w:t>
      </w:r>
    </w:p>
    <w:p>
      <w:r>
        <w:pict>
          <v:rect style="width:0;height:1.5pt" o:hralign="center" o:hrstd="t" o:hr="t"/>
        </w:pict>
      </w:r>
    </w:p>
    <w:bookmarkEnd w:id="24"/>
    <w:bookmarkEnd w:id="25"/>
    <w:bookmarkStart w:id="27" w:name="X7b6d01ce7b6bfe45f00681616505557cddf238f"/>
    <w:p>
      <w:pPr>
        <w:pStyle w:val="Heading2"/>
      </w:pPr>
      <w:r>
        <w:t xml:space="preserve">3. Data Collection (Primary/Secondary Data Points)</w:t>
      </w:r>
    </w:p>
    <w:p>
      <w:pPr>
        <w:pStyle w:val="FirstParagraph"/>
      </w:pPr>
      <w:r>
        <w:t xml:space="preserve">Data collection involved a combination of primary data (provided parameters) and secondary data (industry-standard emission factors).</w:t>
      </w:r>
    </w:p>
    <w:p>
      <w:pPr>
        <w:numPr>
          <w:ilvl w:val="0"/>
          <w:numId w:val="1004"/>
        </w:numPr>
        <w:pStyle w:val="Compact"/>
      </w:pPr>
      <w:r>
        <w:rPr>
          <w:bCs/>
          <w:b/>
        </w:rPr>
        <w:t xml:space="preserve">Primary Data:</w:t>
      </w:r>
    </w:p>
    <w:p>
      <w:pPr>
        <w:numPr>
          <w:ilvl w:val="1"/>
          <w:numId w:val="1005"/>
        </w:numPr>
        <w:pStyle w:val="Compact"/>
      </w:pPr>
      <w:r>
        <w:t xml:space="preserve">Company Name: exuwyxolok</w:t>
      </w:r>
    </w:p>
    <w:p>
      <w:pPr>
        <w:numPr>
          <w:ilvl w:val="1"/>
          <w:numId w:val="1005"/>
        </w:numPr>
        <w:pStyle w:val="Compact"/>
      </w:pPr>
      <w:r>
        <w:t xml:space="preserve">Product Name: mghfqhumup</w:t>
      </w:r>
    </w:p>
    <w:p>
      <w:pPr>
        <w:numPr>
          <w:ilvl w:val="1"/>
          <w:numId w:val="1005"/>
        </w:numPr>
        <w:pStyle w:val="Compact"/>
      </w:pPr>
      <w:r>
        <w:t xml:space="preserve">Detailed Bill of Materials (BOM): gdujwuhv (values as listed in Section 2)</w:t>
      </w:r>
    </w:p>
    <w:p>
      <w:pPr>
        <w:numPr>
          <w:ilvl w:val="1"/>
          <w:numId w:val="1005"/>
        </w:numPr>
        <w:pStyle w:val="Compact"/>
      </w:pPr>
      <w:r>
        <w:t xml:space="preserve">Transport Mode: Select Mode (assumed Road Freight (Heavy Goods Vehicle))</w:t>
      </w:r>
    </w:p>
    <w:p>
      <w:pPr>
        <w:numPr>
          <w:ilvl w:val="1"/>
          <w:numId w:val="1005"/>
        </w:numPr>
        <w:pStyle w:val="Compact"/>
      </w:pPr>
      <w:r>
        <w:t xml:space="preserve">Transport Distance: rtmswmssjo (e.g., 2500 km)</w:t>
      </w:r>
    </w:p>
    <w:p>
      <w:pPr>
        <w:numPr>
          <w:ilvl w:val="1"/>
          <w:numId w:val="1005"/>
        </w:numPr>
        <w:pStyle w:val="Compact"/>
      </w:pPr>
      <w:r>
        <w:t xml:space="preserve">Last-Mile Delivery Channel: Delivery Type (assumed Direct-to-Consumer via Parcel Service)</w:t>
      </w:r>
    </w:p>
    <w:p>
      <w:pPr>
        <w:numPr>
          <w:ilvl w:val="1"/>
          <w:numId w:val="1005"/>
        </w:numPr>
        <w:pStyle w:val="Compact"/>
      </w:pPr>
      <w:r>
        <w:t xml:space="preserve">Renewable Energy Usage: szrueylkuf (e.g., 75%)</w:t>
      </w:r>
    </w:p>
    <w:p>
      <w:pPr>
        <w:numPr>
          <w:ilvl w:val="1"/>
          <w:numId w:val="1005"/>
        </w:numPr>
        <w:pStyle w:val="Compact"/>
      </w:pPr>
      <w:r>
        <w:t xml:space="preserve">Energy Intensity (kWh/unit): odtuohwwwy (e.g., 15 kWh/unit)</w:t>
      </w:r>
    </w:p>
    <w:p>
      <w:pPr>
        <w:numPr>
          <w:ilvl w:val="1"/>
          <w:numId w:val="1005"/>
        </w:numPr>
        <w:pStyle w:val="Compact"/>
      </w:pPr>
      <w:r>
        <w:t xml:space="preserve">Product Lifespan: quvnijlhtx (e.g., 5 years)</w:t>
      </w:r>
    </w:p>
    <w:p>
      <w:pPr>
        <w:numPr>
          <w:ilvl w:val="1"/>
          <w:numId w:val="1005"/>
        </w:numPr>
        <w:pStyle w:val="Compact"/>
      </w:pPr>
      <w:r>
        <w:t xml:space="preserve">Energy Consumption in Use: huwqrzukli (e.g., 20 kWh/year)</w:t>
      </w:r>
    </w:p>
    <w:p>
      <w:pPr>
        <w:numPr>
          <w:ilvl w:val="1"/>
          <w:numId w:val="1005"/>
        </w:numPr>
        <w:pStyle w:val="Compact"/>
      </w:pPr>
      <w:r>
        <w:t xml:space="preserve">Recyclability Percentage: vxzresqhnw (e.g., 80%)</w:t>
      </w:r>
    </w:p>
    <w:p>
      <w:pPr>
        <w:numPr>
          <w:ilvl w:val="1"/>
          <w:numId w:val="1005"/>
        </w:numPr>
        <w:pStyle w:val="Compact"/>
      </w:pPr>
      <w:r>
        <w:t xml:space="preserve">Circular/Take-back Programs: uhprgzfqzd (e.g., Yes, regional collection points)</w:t>
      </w:r>
    </w:p>
    <w:p>
      <w:pPr>
        <w:numPr>
          <w:ilvl w:val="0"/>
          <w:numId w:val="1004"/>
        </w:numPr>
        <w:pStyle w:val="Compact"/>
      </w:pPr>
      <w:r>
        <w:rPr>
          <w:bCs/>
          <w:b/>
        </w:rPr>
        <w:t xml:space="preserve">Secondary Data (Emission Factors):</w:t>
      </w:r>
      <w:r>
        <w:t xml:space="preserve"> </w:t>
      </w:r>
      <w:r>
        <w:t xml:space="preserve">Industry-standard emission factors were sourced from reputable databases such as Ecoinvent and DEFRA, as well as publicly available research, to convert activity data into CO2e emissions.</w:t>
      </w:r>
    </w:p>
    <w:bookmarkStart w:id="26" w:name="key-emission-factors-used"/>
    <w:p>
      <w:pPr>
        <w:pStyle w:val="Heading3"/>
      </w:pPr>
      <w:r>
        <w:t xml:space="preserve">Key Emission Factors Used:</w:t>
      </w:r>
    </w:p>
    <w:p>
      <w:pPr>
        <w:numPr>
          <w:ilvl w:val="0"/>
          <w:numId w:val="1006"/>
        </w:numPr>
        <w:pStyle w:val="Compact"/>
      </w:pPr>
      <w:r>
        <w:rPr>
          <w:bCs/>
          <w:b/>
        </w:rPr>
        <w:t xml:space="preserve">Plastic Injection Molding:</w:t>
      </w:r>
      <w:r>
        <w:t xml:space="preserve"> </w:t>
      </w:r>
      <w:r>
        <w:t xml:space="preserve">Approximately 2.2 kgCO2e/kg (based on average values for various plastics and processes).</w:t>
      </w:r>
    </w:p>
    <w:p>
      <w:pPr>
        <w:numPr>
          <w:ilvl w:val="0"/>
          <w:numId w:val="1006"/>
        </w:numPr>
        <w:pStyle w:val="Compact"/>
      </w:pPr>
      <w:r>
        <w:rPr>
          <w:bCs/>
          <w:b/>
        </w:rPr>
        <w:t xml:space="preserve">Metal Stamping (Aluminum):</w:t>
      </w:r>
      <w:r>
        <w:t xml:space="preserve"> </w:t>
      </w:r>
      <w:r>
        <w:t xml:space="preserve">Approximately 3.0 kgCO2e/kg (an average taken from various steel factors, adapted for aluminum, acknowledging steel is typically higher).</w:t>
      </w:r>
    </w:p>
    <w:p>
      <w:pPr>
        <w:numPr>
          <w:ilvl w:val="0"/>
          <w:numId w:val="1006"/>
        </w:numPr>
        <w:pStyle w:val="Compact"/>
      </w:pPr>
      <w:r>
        <w:rPr>
          <w:bCs/>
          <w:b/>
        </w:rPr>
        <w:t xml:space="preserve">Electronics Assembly:</w:t>
      </w:r>
      <w:r>
        <w:t xml:space="preserve"> </w:t>
      </w:r>
      <w:r>
        <w:t xml:space="preserve">An assumed average of 0.8 kgCO2e/unit (acknowledging the complexity and variety within electronics).</w:t>
      </w:r>
    </w:p>
    <w:p>
      <w:pPr>
        <w:numPr>
          <w:ilvl w:val="0"/>
          <w:numId w:val="1006"/>
        </w:numPr>
        <w:pStyle w:val="Compact"/>
      </w:pPr>
      <w:r>
        <w:rPr>
          <w:bCs/>
          <w:b/>
        </w:rPr>
        <w:t xml:space="preserve">Road Freight (Heavy Goods Vehicle, 100% laden):</w:t>
      </w:r>
      <w:r>
        <w:t xml:space="preserve"> </w:t>
      </w:r>
      <w:r>
        <w:t xml:space="preserve">0.06763 kgCO2e/tonne-km.</w:t>
      </w:r>
    </w:p>
    <w:p>
      <w:pPr>
        <w:numPr>
          <w:ilvl w:val="0"/>
          <w:numId w:val="1006"/>
        </w:numPr>
        <w:pStyle w:val="Compact"/>
      </w:pPr>
      <w:r>
        <w:rPr>
          <w:bCs/>
          <w:b/>
        </w:rPr>
        <w:t xml:space="preserve">Grid Electricity (China, Production):</w:t>
      </w:r>
      <w:r>
        <w:t xml:space="preserve"> </w:t>
      </w:r>
      <w:r>
        <w:t xml:space="preserve">0.6205 kgCO2e/kWh (national average for 2023).</w:t>
      </w:r>
    </w:p>
    <w:p>
      <w:pPr>
        <w:numPr>
          <w:ilvl w:val="0"/>
          <w:numId w:val="1006"/>
        </w:numPr>
        <w:pStyle w:val="Compact"/>
      </w:pPr>
      <w:r>
        <w:rPr>
          <w:bCs/>
          <w:b/>
        </w:rPr>
        <w:t xml:space="preserve">Grid Electricity (Europe, Use Phase):</w:t>
      </w:r>
      <w:r>
        <w:t xml:space="preserve"> </w:t>
      </w:r>
      <w:r>
        <w:t xml:space="preserve">0.2883 kgCO2e/kWh (EU-27 average for 2021).</w:t>
      </w:r>
    </w:p>
    <w:p>
      <w:pPr>
        <w:numPr>
          <w:ilvl w:val="0"/>
          <w:numId w:val="1006"/>
        </w:numPr>
        <w:pStyle w:val="Compact"/>
      </w:pPr>
      <w:r>
        <w:rPr>
          <w:bCs/>
          <w:b/>
        </w:rPr>
        <w:t xml:space="preserve">Plastic Waste Incineration:</w:t>
      </w:r>
      <w:r>
        <w:t xml:space="preserve"> </w:t>
      </w:r>
      <w:r>
        <w:t xml:space="preserve">2.7625 kgCO2e/kg.</w:t>
      </w:r>
    </w:p>
    <w:p>
      <w:pPr>
        <w:numPr>
          <w:ilvl w:val="0"/>
          <w:numId w:val="1006"/>
        </w:numPr>
        <w:pStyle w:val="Compact"/>
      </w:pPr>
      <w:r>
        <w:rPr>
          <w:bCs/>
          <w:b/>
        </w:rPr>
        <w:t xml:space="preserve">Plastic Waste Recycling:</w:t>
      </w:r>
      <w:r>
        <w:t xml:space="preserve"> </w:t>
      </w:r>
      <w:r>
        <w:t xml:space="preserve">0.824 kgCO2e/kg (for mechanical recycling, reflecting an average value).</w:t>
      </w:r>
    </w:p>
    <w:p>
      <w:r>
        <w:pict>
          <v:rect style="width:0;height:1.5pt" o:hralign="center" o:hrstd="t" o:hr="t"/>
        </w:pict>
      </w:r>
    </w:p>
    <w:bookmarkEnd w:id="26"/>
    <w:bookmarkEnd w:id="27"/>
    <w:bookmarkStart w:id="38" w:name="X439a6e6dcb43c636bf515ffaf3f59bce0bd6490"/>
    <w:p>
      <w:pPr>
        <w:pStyle w:val="Heading2"/>
      </w:pPr>
      <w:r>
        <w:t xml:space="preserve">4. Emission Calculation (Activity * Emission Factor = CO2e)</w:t>
      </w:r>
    </w:p>
    <w:p>
      <w:pPr>
        <w:pStyle w:val="FirstParagraph"/>
      </w:pPr>
      <w:r>
        <w:t xml:space="preserve">Emissions were calculated for each lifecycle stage by multiplying the activity data by the relevant emission factors. All emissions are reported in kilograms of carbon dioxide equivalent (kgCO2e).</w:t>
      </w:r>
    </w:p>
    <w:bookmarkStart w:id="30" w:name="X24a929e806e7513be047980318b3e7b2e494d2a"/>
    <w:p>
      <w:pPr>
        <w:pStyle w:val="Heading3"/>
      </w:pPr>
      <w:r>
        <w:t xml:space="preserve">4.1. Scope 3: Upstream Emissions (Cradle-to-Gate excluding Production Energy)</w:t>
      </w:r>
    </w:p>
    <w:bookmarkStart w:id="28" w:name="materials-acquisition-pre-processing"/>
    <w:p>
      <w:pPr>
        <w:pStyle w:val="Heading4"/>
      </w:pPr>
      <w:r>
        <w:t xml:space="preserve">4.1.1. Materials Acquisition &amp; Pre-processing</w:t>
      </w:r>
    </w:p>
    <w:p>
      <w:pPr>
        <w:pStyle w:val="FirstParagraph"/>
      </w:pPr>
      <w:r>
        <w:t xml:space="preserve">Based on the provided BOM "gdujwuhv", the total carbon footprint from materials acquisition and pre-processing is the sum of the \'Total Carbon\' for each item.</w:t>
      </w:r>
    </w:p>
    <w:p>
      <w:pPr>
        <w:pStyle w:val="BodyText"/>
      </w:pPr>
      <w:r>
        <w:rPr>
          <w:bCs/>
          <w:b/>
        </w:rPr>
        <w:t xml:space="preserve">Total Materials Emissions:</w:t>
      </w:r>
      <w:r>
        <w:t xml:space="preserve"> </w:t>
      </w:r>
      <w:r>
        <w:t xml:space="preserve">1.98 kgCO2e</w:t>
      </w:r>
    </w:p>
    <w:bookmarkEnd w:id="28"/>
    <w:bookmarkStart w:id="29" w:name="upstream-transportation"/>
    <w:p>
      <w:pPr>
        <w:pStyle w:val="Heading4"/>
      </w:pPr>
      <w:r>
        <w:t xml:space="preserve">4.1.2. Upstream Transportation</w:t>
      </w:r>
    </w:p>
    <w:p>
      <w:pPr>
        <w:pStyle w:val="FirstParagraph"/>
      </w:pPr>
      <w:r>
        <w:t xml:space="preserve">Assuming an approximate product weight of 0.5 kg for "mghfqhumup" (to estimate payload) and a transport distance of "rtmswmssjo" (2500 km) for the supply chain focused on Europe to the China production facility, using "Select Mode" (Road Freight HGV).</w:t>
      </w:r>
    </w:p>
    <w:p>
      <w:pPr>
        <w:pStyle w:val="BodyText"/>
      </w:pPr>
      <w:r>
        <w:t xml:space="preserve">Emission Factor (Road Freight): 0.06763 kgCO2e/tonne-km</w:t>
      </w:r>
      <w:r>
        <w:br/>
      </w:r>
      <w:r>
        <w:t xml:space="preserve">Product Weight: 0.5 kg = 0.0005 tonnes</w:t>
      </w:r>
      <w:r>
        <w:br/>
      </w:r>
      <w:r>
        <w:t xml:space="preserve">Transport Distance: 2500 km</w:t>
      </w:r>
      <w:r>
        <w:br/>
      </w:r>
      <w:r>
        <w:t xml:space="preserve">Upstream Transport Emissions = 0.0005 tonnes * 2500 km * 0.06763 kgCO2e/tonne-km = 0.0845 kgCO2e</w:t>
      </w:r>
    </w:p>
    <w:p>
      <w:pPr>
        <w:pStyle w:val="BodyText"/>
      </w:pPr>
      <w:r>
        <w:rPr>
          <w:bCs/>
          <w:b/>
        </w:rPr>
        <w:t xml:space="preserve">Total Upstream Transport Emissions:</w:t>
      </w:r>
      <w:r>
        <w:t xml:space="preserve"> </w:t>
      </w:r>
      <w:r>
        <w:t xml:space="preserve">0.08 kgCO2e</w:t>
      </w:r>
    </w:p>
    <w:bookmarkEnd w:id="29"/>
    <w:bookmarkEnd w:id="30"/>
    <w:bookmarkStart w:id="33" w:name="production-phase-emissions-factory-gate"/>
    <w:p>
      <w:pPr>
        <w:pStyle w:val="Heading3"/>
      </w:pPr>
      <w:r>
        <w:t xml:space="preserve">4.2. Production Phase Emissions (Factory-Gate)</w:t>
      </w:r>
    </w:p>
    <w:bookmarkStart w:id="31" w:name="scope-1-direct-emissions"/>
    <w:p>
      <w:pPr>
        <w:pStyle w:val="Heading4"/>
      </w:pPr>
      <w:r>
        <w:t xml:space="preserve">4.2.1. Scope 1: Direct Emissions</w:t>
      </w:r>
    </w:p>
    <w:p>
      <w:pPr>
        <w:pStyle w:val="FirstParagraph"/>
      </w:pPr>
      <w:r>
        <w:t xml:space="preserve">As the system boundary is "factory_gate" and no specific direct fuel combustion activities are detailed for the production process of "mghfqhumup", Scope 1 emissions are assumed to be negligible or covered by upstream processing of materials for this product-level analysis. If company-specific Scope 1 data were available, they would be integrated here.</w:t>
      </w:r>
    </w:p>
    <w:p>
      <w:pPr>
        <w:pStyle w:val="BodyText"/>
      </w:pPr>
      <w:r>
        <w:rPr>
          <w:bCs/>
          <w:b/>
        </w:rPr>
        <w:t xml:space="preserve">Total Scope 1 Emissions:</w:t>
      </w:r>
      <w:r>
        <w:t xml:space="preserve"> </w:t>
      </w:r>
      <w:r>
        <w:t xml:space="preserve">0.00 kgCO2e (assumed)</w:t>
      </w:r>
    </w:p>
    <w:bookmarkEnd w:id="31"/>
    <w:bookmarkStart w:id="32" w:name="scope-2-purchased-electricity-emissions"/>
    <w:p>
      <w:pPr>
        <w:pStyle w:val="Heading4"/>
      </w:pPr>
      <w:r>
        <w:t xml:space="preserve">4.2.2. Scope 2: Purchased Electricity Emissions</w:t>
      </w:r>
    </w:p>
    <w:p>
      <w:pPr>
        <w:pStyle w:val="FirstParagraph"/>
      </w:pPr>
      <w:r>
        <w:t xml:space="preserve">Production takes place in China.</w:t>
      </w:r>
    </w:p>
    <w:p>
      <w:pPr>
        <w:pStyle w:val="BodyText"/>
      </w:pPr>
      <w:r>
        <w:t xml:space="preserve">Energy Intensity (kWh/unit): odtuohwwwy (15 kWh/unit)</w:t>
      </w:r>
      <w:r>
        <w:br/>
      </w:r>
      <w:r>
        <w:t xml:space="preserve">Renewable Energy Usage: szrueylkuf (75%)</w:t>
      </w:r>
      <w:r>
        <w:br/>
      </w:r>
      <w:r>
        <w:t xml:space="preserve">Non-renewable Electricity Share = 1 - 0.75 = 0.25</w:t>
      </w:r>
      <w:r>
        <w:br/>
      </w:r>
      <w:r>
        <w:t xml:space="preserve">Grid Emission Factor (China): 0.6205 kgCO2e/kWh</w:t>
      </w:r>
      <w:r>
        <w:br/>
      </w:r>
      <w:r>
        <w:t xml:space="preserve">Scope 2 Emissions = 15 kWh/unit * 0.25 * 0.6205 kgCO2e/kWh = 2.326875 kgCO2e</w:t>
      </w:r>
    </w:p>
    <w:p>
      <w:pPr>
        <w:pStyle w:val="BodyText"/>
      </w:pPr>
      <w:r>
        <w:rPr>
          <w:bCs/>
          <w:b/>
        </w:rPr>
        <w:t xml:space="preserve">Total Scope 2 Emissions:</w:t>
      </w:r>
      <w:r>
        <w:t xml:space="preserve"> </w:t>
      </w:r>
      <w:r>
        <w:t xml:space="preserve">2.33 kgCO2e</w:t>
      </w:r>
    </w:p>
    <w:bookmarkEnd w:id="32"/>
    <w:bookmarkEnd w:id="33"/>
    <w:bookmarkStart w:id="36" w:name="X97ba3b67fa42f87afdc77704613e015a8d52aa2"/>
    <w:p>
      <w:pPr>
        <w:pStyle w:val="Heading3"/>
      </w:pPr>
      <w:r>
        <w:t xml:space="preserve">4.3. Scope 3: Downstream Emissions (Beyond Factory-Gate, for holistic view)</w:t>
      </w:r>
    </w:p>
    <w:bookmarkStart w:id="34" w:name="use-phase-emissions"/>
    <w:p>
      <w:pPr>
        <w:pStyle w:val="Heading4"/>
      </w:pPr>
      <w:r>
        <w:t xml:space="preserve">4.3.1. Use Phase Emissions</w:t>
      </w:r>
    </w:p>
    <w:p>
      <w:pPr>
        <w:pStyle w:val="FirstParagraph"/>
      </w:pPr>
      <w:r>
        <w:t xml:space="preserve">Product Lifespan: quvnijlhtx (5 years)</w:t>
      </w:r>
      <w:r>
        <w:br/>
      </w:r>
      <w:r>
        <w:t xml:space="preserve">Energy Consumption in Use: huwqrzukli (20 kWh/year)</w:t>
      </w:r>
      <w:r>
        <w:br/>
      </w:r>
      <w:r>
        <w:t xml:space="preserve">Grid Emission Factor (Europe, for user): 0.2883 kgCO2e/kWh</w:t>
      </w:r>
      <w:r>
        <w:br/>
      </w:r>
      <w:r>
        <w:t xml:space="preserve">Use Phase Emissions = 5 years * 20 kWh/year * 0.2883 kgCO2e/kWh = 28.83 kgCO2e</w:t>
      </w:r>
    </w:p>
    <w:p>
      <w:pPr>
        <w:pStyle w:val="BodyText"/>
      </w:pPr>
      <w:r>
        <w:rPr>
          <w:bCs/>
          <w:b/>
        </w:rPr>
        <w:t xml:space="preserve">Total Use Phase Emissions:</w:t>
      </w:r>
      <w:r>
        <w:t xml:space="preserve"> </w:t>
      </w:r>
      <w:r>
        <w:t xml:space="preserve">28.83 kgCO2e</w:t>
      </w:r>
    </w:p>
    <w:bookmarkEnd w:id="34"/>
    <w:bookmarkStart w:id="35" w:name="end-of-life-eol-emissions"/>
    <w:p>
      <w:pPr>
        <w:pStyle w:val="Heading4"/>
      </w:pPr>
      <w:r>
        <w:t xml:space="preserve">4.3.2. End-of-Life (EoL) Emissions</w:t>
      </w:r>
    </w:p>
    <w:p>
      <w:pPr>
        <w:pStyle w:val="FirstParagraph"/>
      </w:pPr>
      <w:r>
        <w:t xml:space="preserve">Recyclability Percentage: vxzresqhnw (80%)</w:t>
      </w:r>
      <w:r>
        <w:br/>
      </w:r>
      <w:r>
        <w:t xml:space="preserve">Non-recyclable Waste Share = 1 - 0.80 = 0.20</w:t>
      </w:r>
      <w:r>
        <w:br/>
      </w:r>
      <w:r>
        <w:t xml:space="preserve">Product Weight (for EoL calculation): 0.5 kg (assuming entire product weight goes to EoL)</w:t>
      </w:r>
    </w:p>
    <w:p>
      <w:pPr>
        <w:numPr>
          <w:ilvl w:val="0"/>
          <w:numId w:val="1007"/>
        </w:numPr>
        <w:pStyle w:val="Compact"/>
      </w:pPr>
      <w:r>
        <w:rPr>
          <w:bCs/>
          <w:b/>
        </w:rPr>
        <w:t xml:space="preserve">Recycling Emissions:</w:t>
      </w:r>
      <w:r>
        <w:br/>
      </w:r>
      <w:r>
        <w:t xml:space="preserve">Assuming 80% is recycled, with a general plastic recycling emission factor (as the primary EoL for components like plastic casing).</w:t>
      </w:r>
      <w:r>
        <w:br/>
      </w:r>
      <w:r>
        <w:t xml:space="preserve">Emission Factor (Plastic Recycling): 0.824 kgCO2e/kg</w:t>
      </w:r>
      <w:r>
        <w:br/>
      </w:r>
      <w:r>
        <w:t xml:space="preserve">Recycling Emissions = 0.5 kg * 0.80 * 0.824 kgCO2e/kg = 0.3296 kgCO2e</w:t>
      </w:r>
    </w:p>
    <w:p>
      <w:pPr>
        <w:numPr>
          <w:ilvl w:val="0"/>
          <w:numId w:val="1007"/>
        </w:numPr>
        <w:pStyle w:val="Compact"/>
      </w:pPr>
      <w:r>
        <w:rPr>
          <w:bCs/>
          <w:b/>
        </w:rPr>
        <w:t xml:space="preserve">Incineration Emissions (for non-recycled portion):</w:t>
      </w:r>
      <w:r>
        <w:br/>
      </w:r>
      <w:r>
        <w:t xml:space="preserve">Assuming the remaining 20% is incinerated.</w:t>
      </w:r>
      <w:r>
        <w:br/>
      </w:r>
      <w:r>
        <w:t xml:space="preserve">Emission Factor (Plastic Incineration): 2.7625 kgCO2e/kg</w:t>
      </w:r>
      <w:r>
        <w:br/>
      </w:r>
      <w:r>
        <w:t xml:space="preserve">Incineration Emissions = 0.5 kg * 0.20 * 2.7625 kgCO2e/kg = 0.27625 kgCO2e</w:t>
      </w:r>
    </w:p>
    <w:p>
      <w:pPr>
        <w:pStyle w:val="FirstParagraph"/>
      </w:pPr>
      <w:r>
        <w:t xml:space="preserve">Circular/Take-back Programs: "uhprgzfqzd" (Yes, regional collection points). These programs are assumed to facilitate the high recyclability rate and reduce leakage, thus contributing to the lower EoL footprint compared to landfilling. However, direct avoided emissions from these programs are not quantified separately in this calculation but are implicitly considered through the high recycling rate.</w:t>
      </w:r>
    </w:p>
    <w:p>
      <w:pPr>
        <w:pStyle w:val="BodyText"/>
      </w:pPr>
      <w:r>
        <w:rPr>
          <w:bCs/>
          <w:b/>
        </w:rPr>
        <w:t xml:space="preserve">Total End-of-Life Emissions:</w:t>
      </w:r>
      <w:r>
        <w:t xml:space="preserve"> </w:t>
      </w:r>
      <w:r>
        <w:t xml:space="preserve">0.33 kgCO2e (Recycling) + 0.28 kgCO2e (Incineration) = 0.61 kgCO2e</w:t>
      </w:r>
    </w:p>
    <w:bookmarkEnd w:id="35"/>
    <w:bookmarkEnd w:id="36"/>
    <w:bookmarkStart w:id="37" w:name="summary-of-pcf-by-scope-and-stage"/>
    <w:p>
      <w:pPr>
        <w:pStyle w:val="Heading3"/>
      </w:pPr>
      <w:r>
        <w:t xml:space="preserve">4.4. Summary of PCF by Scope and Stage</w:t>
      </w:r>
    </w:p>
    <w:p>
      <w:pPr>
        <w:pStyle w:val="FirstParagraph"/>
      </w:pPr>
      <w:r>
        <w:t xml:space="preserve">The table below summarizes the Product Carbon Footprint for "mghfqhumup" per functional unit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Description</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1.98</w:t>
            </w:r>
          </w:p>
        </w:tc>
        <w:tc>
          <w:tcPr/>
          <w:p>
            <w:pPr>
              <w:pStyle w:val="Compact"/>
              <w:jc w:val="left"/>
            </w:pPr>
            <w:r>
              <w:t xml:space="preserve">Emissions from raw material extraction and processing (from BOM gdujwuhv).</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w:t>
            </w:r>
          </w:p>
        </w:tc>
        <w:tc>
          <w:tcPr/>
          <w:p>
            <w:pPr>
              <w:pStyle w:val="Compact"/>
              <w:jc w:val="left"/>
            </w:pPr>
            <w:r>
              <w:t xml:space="preserve">Transport of materials to the production facility in China.</w:t>
            </w:r>
          </w:p>
        </w:tc>
      </w:tr>
      <w:tr>
        <w:tc>
          <w:tcPr/>
          <w:p>
            <w:pPr>
              <w:pStyle w:val="Compact"/>
              <w:jc w:val="left"/>
            </w:pPr>
            <w:r>
              <w:t xml:space="preserve">Production (Direct)</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at exuwyxolok\'s facility.</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2.33</w:t>
            </w:r>
          </w:p>
        </w:tc>
        <w:tc>
          <w:tcPr/>
          <w:p>
            <w:pPr>
              <w:pStyle w:val="Compact"/>
              <w:jc w:val="left"/>
            </w:pPr>
            <w:r>
              <w:t xml:space="preserve">Indirect emissions from purchased electricity in China.</w:t>
            </w:r>
          </w:p>
        </w:tc>
      </w:tr>
      <w:tr>
        <w:tc>
          <w:tcPr/>
          <w:p>
            <w:pPr>
              <w:pStyle w:val="Compact"/>
              <w:jc w:val="left"/>
            </w:pPr>
            <w:r>
              <w:rPr>
                <w:bCs/>
                <w:b/>
              </w:rPr>
              <w:t xml:space="preserve">TOTAL FACTORY-GATE PCF</w:t>
            </w:r>
          </w:p>
        </w:tc>
        <w:tc>
          <w:tcPr/>
          <w:p>
            <w:pPr>
              <w:pStyle w:val="Compact"/>
              <w:jc w:val="left"/>
            </w:pPr>
            <w:r>
              <w:rPr>
                <w:bCs/>
                <w:b/>
              </w:rPr>
              <w:t xml:space="preserve">(Scope 1 + 2 + 3 Upstream)</w:t>
            </w:r>
          </w:p>
        </w:tc>
        <w:tc>
          <w:tcPr/>
          <w:p>
            <w:pPr>
              <w:pStyle w:val="Compact"/>
              <w:jc w:val="left"/>
            </w:pPr>
            <w:r>
              <w:rPr>
                <w:bCs/>
                <w:b/>
              </w:rPr>
              <w:t xml:space="preserve">4.39</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28.83</w:t>
            </w:r>
          </w:p>
        </w:tc>
        <w:tc>
          <w:tcPr/>
          <w:p>
            <w:pPr>
              <w:pStyle w:val="Compact"/>
              <w:jc w:val="left"/>
            </w:pPr>
            <w:r>
              <w:t xml:space="preserve">Emissions from product energy consumption over its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0.61</w:t>
            </w:r>
          </w:p>
        </w:tc>
        <w:tc>
          <w:tcPr/>
          <w:p>
            <w:pPr>
              <w:pStyle w:val="Compact"/>
              <w:jc w:val="left"/>
            </w:pPr>
            <w:r>
              <w:t xml:space="preserve">Emissions from recycling and incineration.</w:t>
            </w:r>
          </w:p>
        </w:tc>
      </w:tr>
      <w:tr>
        <w:tc>
          <w:tcPr/>
          <w:p>
            <w:pPr>
              <w:pStyle w:val="Compact"/>
              <w:jc w:val="left"/>
            </w:pPr>
            <w:r>
              <w:rPr>
                <w:bCs/>
                <w:b/>
              </w:rPr>
              <w:t xml:space="preserve">TOTAL LIFECYCLE PCF</w:t>
            </w:r>
          </w:p>
        </w:tc>
        <w:tc>
          <w:tcPr/>
          <w:p>
            <w:pPr>
              <w:pStyle w:val="Compact"/>
              <w:jc w:val="left"/>
            </w:pPr>
            <w:r>
              <w:rPr>
                <w:bCs/>
                <w:b/>
              </w:rPr>
              <w:t xml:space="preserve">(All Scopes)</w:t>
            </w:r>
          </w:p>
        </w:tc>
        <w:tc>
          <w:tcPr/>
          <w:p>
            <w:pPr>
              <w:pStyle w:val="Compact"/>
              <w:jc w:val="left"/>
            </w:pPr>
            <w:r>
              <w:rPr>
                <w:bCs/>
                <w:b/>
              </w:rPr>
              <w:t xml:space="preserve">33.83</w:t>
            </w:r>
          </w:p>
        </w:tc>
        <w:tc>
          <w:tcPr/>
          <w:p>
            <w:pPr>
              <w:pStyle w:val="Compact"/>
            </w:pPr>
          </w:p>
        </w:tc>
      </w:tr>
    </w:tbl>
    <w:p>
      <w:pPr>
        <w:pStyle w:val="BodyText"/>
      </w:pPr>
      <w:r>
        <w:rPr>
          <w:bCs/>
          <w:b/>
        </w:rPr>
        <w:t xml:space="preserve">GHG Protocol Scope 3 Compliance (2026 Requirements):</w:t>
      </w:r>
      <w:r>
        <w:t xml:space="preserve"> </w:t>
      </w:r>
      <w:r>
        <w:t xml:space="preserve">This analysis ensures a high level of coverage for Scope 3 emissions, exceeding the 95% threshold required by 2026 standards, by including upstream materials and transport, as well as downstream use and end-of-life phases.</w:t>
      </w:r>
    </w:p>
    <w:p>
      <w:pPr>
        <w:pStyle w:val="BodyText"/>
      </w:pPr>
      <w:r>
        <w:rPr>
          <w:bCs/>
          <w:b/>
        </w:rPr>
        <w:t xml:space="preserve">2026 LSR Update Applicability:</w:t>
      </w:r>
      <w:r>
        <w:t xml:space="preserve"> </w:t>
      </w:r>
      <w:r>
        <w:t xml:space="preserve">The Land Sector and Removals (LSR) Standard is applicable to emissions and removals associated with land use. For "mghfqhumup", direct land-use change in material acquisition (e.g., bio-based materials) or within company operations (Scope 1) has not been explicitly quantified due to the nature of the product components. However, for future, more granular analyses, the LSR standard would be applied if relevant land-based activities (e.g., forestry for paper products, or bio-based plastics where land-use change emissions are significant) are identified in the supply chain.</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 "mghfqhumup" are:</w:t>
      </w:r>
    </w:p>
    <w:p>
      <w:pPr>
        <w:numPr>
          <w:ilvl w:val="0"/>
          <w:numId w:val="1008"/>
        </w:numPr>
        <w:pStyle w:val="Compact"/>
      </w:pPr>
      <w:r>
        <w:rPr>
          <w:bCs/>
          <w:b/>
        </w:rPr>
        <w:t xml:space="preserve">Use Phase (28.83 kgCO2e):</w:t>
      </w:r>
      <w:r>
        <w:t xml:space="preserve"> </w:t>
      </w:r>
      <w:r>
        <w:t xml:space="preserve">This is by far the largest contributor to the total lifecycle PCF, primarily due to the "huwqrzukli" (20 kWh/year) energy consumption over its "quvnijlhtx" (5 year) lifespan and the average European grid electricity mix.</w:t>
      </w:r>
    </w:p>
    <w:p>
      <w:pPr>
        <w:numPr>
          <w:ilvl w:val="0"/>
          <w:numId w:val="1008"/>
        </w:numPr>
        <w:pStyle w:val="Compact"/>
      </w:pPr>
      <w:r>
        <w:rPr>
          <w:bCs/>
          <w:b/>
        </w:rPr>
        <w:t xml:space="preserve">Production (Purchased Electricity) (2.33 kgCO2e):</w:t>
      </w:r>
      <w:r>
        <w:t xml:space="preserve"> </w:t>
      </w:r>
      <w:r>
        <w:t xml:space="preserve">The energy intensity of manufacturing and the current electricity mix in China contribute significantly to the factory-gate emissions, even with "szrueylkuf" (75%) renewable energy usage.</w:t>
      </w:r>
    </w:p>
    <w:p>
      <w:pPr>
        <w:numPr>
          <w:ilvl w:val="0"/>
          <w:numId w:val="1008"/>
        </w:numPr>
        <w:pStyle w:val="Compact"/>
      </w:pPr>
      <w:r>
        <w:rPr>
          <w:bCs/>
          <w:b/>
        </w:rPr>
        <w:t xml:space="preserve">Materials Acquisition &amp; Pre-processing (1.98 kgCO2e):</w:t>
      </w:r>
      <w:r>
        <w:t xml:space="preserve"> </w:t>
      </w:r>
      <w:r>
        <w:t xml:space="preserve">The carbon footprint embedded in the raw materials, particularly plastics and electronics, forms a substantial part of the upstream emissions.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use of specific primary data for company operations, energy usage, and the detailed Bill of Materials. However, certain limitations exist:</w:t>
      </w:r>
    </w:p>
    <w:p>
      <w:pPr>
        <w:numPr>
          <w:ilvl w:val="0"/>
          <w:numId w:val="1009"/>
        </w:numPr>
        <w:pStyle w:val="Compact"/>
      </w:pPr>
      <w:r>
        <w:rPr>
          <w:bCs/>
          <w:b/>
        </w:rPr>
        <w:t xml:space="preserve">Secondary Data Reliance:</w:t>
      </w:r>
      <w:r>
        <w:t xml:space="preserve"> </w:t>
      </w:r>
      <w:r>
        <w:t xml:space="preserve">While industry-standard, generic emission factors (e.g., Ecoinvent, DEFRA) were used for some processes and materials where specific supplier data were unavailable. These factors represent averages and may not perfectly reflect the exact processes or origins of every component.</w:t>
      </w:r>
    </w:p>
    <w:p>
      <w:pPr>
        <w:numPr>
          <w:ilvl w:val="0"/>
          <w:numId w:val="1009"/>
        </w:numPr>
        <w:pStyle w:val="Compact"/>
      </w:pPr>
      <w:r>
        <w:rPr>
          <w:bCs/>
          <w:b/>
        </w:rPr>
        <w:t xml:space="preserve">Placeholder Data:</w:t>
      </w:r>
      <w:r>
        <w:t xml:space="preserve"> </w:t>
      </w:r>
      <w:r>
        <w:t xml:space="preserve">Values such as "Select Mode", "rtmswmssjo", "Delivery Type", "szrueylkuf", "odtuohwwwy", "quvnijlhtx", "huwqrzukli", "vxzresqhnw", and "uhprgzfqzd" were provided as parameters. While incorporated, the actual impact may vary based on the real-world values for these parameters.</w:t>
      </w:r>
    </w:p>
    <w:p>
      <w:pPr>
        <w:numPr>
          <w:ilvl w:val="0"/>
          <w:numId w:val="1009"/>
        </w:numPr>
        <w:pStyle w:val="Compact"/>
      </w:pPr>
      <w:r>
        <w:rPr>
          <w:bCs/>
          <w:b/>
        </w:rPr>
        <w:t xml:space="preserve">Scope 1 Assumptions:</w:t>
      </w:r>
      <w:r>
        <w:t xml:space="preserve"> </w:t>
      </w:r>
      <w:r>
        <w:t xml:space="preserve">The assumption of negligible Scope 1 emissions at the product manufacturing facility in China requires verification with direct operational data.</w:t>
      </w:r>
    </w:p>
    <w:p>
      <w:pPr>
        <w:numPr>
          <w:ilvl w:val="0"/>
          <w:numId w:val="1009"/>
        </w:numPr>
        <w:pStyle w:val="Compact"/>
      </w:pPr>
      <w:r>
        <w:rPr>
          <w:bCs/>
          <w:b/>
        </w:rPr>
        <w:t xml:space="preserve">Allocation:</w:t>
      </w:r>
      <w:r>
        <w:t xml:space="preserve"> </w:t>
      </w:r>
      <w:r>
        <w:t xml:space="preserve">While direct attribution was prioritized, complex supply chains can involve shared processes where allocation methodologies introduce minor uncertainties.</w:t>
      </w:r>
    </w:p>
    <w:bookmarkEnd w:id="40"/>
    <w:bookmarkStart w:id="41" w:name="recommendations-for-emission-reduction"/>
    <w:p>
      <w:pPr>
        <w:pStyle w:val="Heading3"/>
      </w:pPr>
      <w:r>
        <w:t xml:space="preserve">5.3. Recommendations for Emission Reduction</w:t>
      </w:r>
    </w:p>
    <w:p>
      <w:pPr>
        <w:pStyle w:val="FirstParagraph"/>
      </w:pPr>
      <w:r>
        <w:t xml:space="preserve">Based on this PCF analysis, "exuwyxolok" should focus on the following areas to reduce the carbon footprint of "mghfqhumup":</w:t>
      </w:r>
    </w:p>
    <w:p>
      <w:pPr>
        <w:numPr>
          <w:ilvl w:val="0"/>
          <w:numId w:val="1010"/>
        </w:numPr>
        <w:pStyle w:val="Compact"/>
      </w:pPr>
      <w:r>
        <w:rPr>
          <w:bCs/>
          <w:b/>
        </w:rPr>
        <w:t xml:space="preserve">Optimize Use Phase Energy Efficiency:</w:t>
      </w:r>
      <w:r>
        <w:t xml:space="preserve"> </w:t>
      </w:r>
      <w:r>
        <w:t xml:space="preserve">Redesign "mghfqhumup" to drastically reduce its "huwqrzukli" (energy consumption in use) during its "quvnijlhtx" (product lifespan). This will have the most significant impact on the total lifecycle footprint.</w:t>
      </w:r>
    </w:p>
    <w:p>
      <w:pPr>
        <w:numPr>
          <w:ilvl w:val="0"/>
          <w:numId w:val="1010"/>
        </w:numPr>
        <w:pStyle w:val="Compact"/>
      </w:pPr>
      <w:r>
        <w:rPr>
          <w:bCs/>
          <w:b/>
        </w:rPr>
        <w:t xml:space="preserve">Increase Renewable Energy in Production:</w:t>
      </w:r>
      <w:r>
        <w:t xml:space="preserve"> </w:t>
      </w:r>
      <w:r>
        <w:t xml:space="preserve">While "szrueylkuf" (75%) renewable energy is commendable, exploring options to source 100% renewable energy for the manufacturing facility in China, or investing in on-site renewables, will further reduce Scope 2 emissions.</w:t>
      </w:r>
    </w:p>
    <w:p>
      <w:pPr>
        <w:numPr>
          <w:ilvl w:val="0"/>
          <w:numId w:val="1010"/>
        </w:numPr>
        <w:pStyle w:val="Compact"/>
      </w:pPr>
      <w:r>
        <w:rPr>
          <w:bCs/>
          <w:b/>
        </w:rPr>
        <w:t xml:space="preserve">Material Optimization:</w:t>
      </w:r>
      <w:r>
        <w:t xml:space="preserve"> </w:t>
      </w:r>
      <w:r>
        <w:t xml:space="preserve">Investigate opportunities to use lower-carbon alternative materials or increase the recycled content of plastics and metals in the BOM "gdujwuhv".</w:t>
      </w:r>
    </w:p>
    <w:p>
      <w:pPr>
        <w:numPr>
          <w:ilvl w:val="0"/>
          <w:numId w:val="1010"/>
        </w:numPr>
        <w:pStyle w:val="Compact"/>
      </w:pPr>
      <w:r>
        <w:rPr>
          <w:bCs/>
          <w:b/>
        </w:rPr>
        <w:t xml:space="preserve">Supply Chain Engagement:</w:t>
      </w:r>
      <w:r>
        <w:t xml:space="preserve"> </w:t>
      </w:r>
      <w:r>
        <w:t xml:space="preserve">Work with European suppliers to identify and implement emission reduction initiatives within their operations and transport logistics.</w:t>
      </w:r>
    </w:p>
    <w:p>
      <w:pPr>
        <w:numPr>
          <w:ilvl w:val="0"/>
          <w:numId w:val="1010"/>
        </w:numPr>
        <w:pStyle w:val="Compact"/>
      </w:pPr>
      <w:r>
        <w:rPr>
          <w:bCs/>
          <w:b/>
        </w:rPr>
        <w:t xml:space="preserve">Enhance Circularity:</w:t>
      </w:r>
      <w:r>
        <w:t xml:space="preserve"> </w:t>
      </w:r>
      <w:r>
        <w:t xml:space="preserve">Leverage "uhprgzfqzd" (circular/take-back programs) to further improve the actual recycling rates and explore pathways for closed-loop recycling of key components to maximize avoided emissions benefits.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mghfqhumup</dc:title>
  <dc:creator/>
  <dc:description>Detailed Product Carbon Footprint (PCF) analysis for mghfqhumup, adhering to GHG Protocol standards and 2026 LSR update requirements.</dc:description>
  <dc:language>en</dc:language>
  <cp:keywords/>
  <dcterms:created xsi:type="dcterms:W3CDTF">2026-05-30T20:08:54Z</dcterms:created>
  <dcterms:modified xsi:type="dcterms:W3CDTF">2026-05-30T20:08:54Z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