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mfrytwiouh</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mfrytwiouh"/>
    <w:p>
      <w:pPr>
        <w:pStyle w:val="Heading2"/>
      </w:pPr>
      <w:r>
        <w:t xml:space="preserve">For Product: mfrytwiouh</w:t>
      </w:r>
    </w:p>
    <w:p>
      <w:pPr>
        <w:pStyle w:val="FirstParagraph"/>
      </w:pPr>
      <w:r>
        <w:br/>
      </w:r>
      <w:r>
        <w:br/>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xpehdumyrk</w:t>
      </w:r>
    </w:p>
    <w:p>
      <w:pPr>
        <w:pStyle w:val="BodyText"/>
      </w:pPr>
      <w:r>
        <w:rPr>
          <w:bCs/>
          <w:b/>
        </w:rPr>
        <w:t xml:space="preserve">Senior Sustainability Consultant:</w:t>
      </w:r>
      <w:r>
        <w:t xml:space="preserve"> </w:t>
      </w:r>
      <w:r>
        <w:t xml:space="preserve">pygwiezmlp</w:t>
      </w:r>
    </w:p>
    <w:p>
      <w:pPr>
        <w:pStyle w:val="BodyText"/>
      </w:pPr>
      <w:r>
        <w:br/>
      </w:r>
      <w:r>
        <w:br/>
      </w:r>
      <w:r>
        <w:br/>
      </w:r>
    </w:p>
    <w:p>
      <w:pPr>
        <w:pStyle w:val="BodyText"/>
      </w:pPr>
      <w:r>
        <w:rPr>
          <w:iCs/>
          <w:i/>
        </w:rPr>
        <w:t xml:space="preserve">This report is generated based on available data and industry standards.</w:t>
      </w:r>
      <w:r>
        <w:rPr>
          <w:iCs/>
          <w:i/>
        </w:rPr>
        <w:t xml:space="preserve"> </w:t>
      </w:r>
      <w:r>
        <w:rPr>
          <w:iCs/>
          <w:i/>
        </w:rPr>
        <w:t xml:space="preserve">It provides an an assessment of the product\'s carbon footprint based on the</w:t>
      </w:r>
      <w:r>
        <w:rPr>
          <w:iCs/>
          <w:i/>
        </w:rPr>
        <w:t xml:space="preserve"> </w:t>
      </w:r>
      <w:r>
        <w:rPr>
          <w:iCs/>
          <w:i/>
        </w:rPr>
        <w:t xml:space="preserve">parameters and methodology outlined herein, using illustrative data where</w:t>
      </w:r>
      <w:r>
        <w:rPr>
          <w:iCs/>
          <w:i/>
        </w:rPr>
        <w:t xml:space="preserve"> </w:t>
      </w:r>
      <w:r>
        <w:rPr>
          <w:iCs/>
          <w:i/>
        </w:rPr>
        <w:t xml:space="preserve">specific inputs were provided as placeholders.</w:t>
      </w:r>
    </w:p>
    <w:bookmarkEnd w:id="20"/>
    <w:bookmarkEnd w:id="21"/>
    <w:bookmarkStart w:id="23" w:name="product-carbon-footprint-analysis-report"/>
    <w:p>
      <w:pPr>
        <w:pStyle w:val="Heading1"/>
      </w:pPr>
      <w:r>
        <w:t xml:space="preserve">Product Carbon Footprint Analysis Report</w:t>
      </w:r>
    </w:p>
    <w:bookmarkStart w:id="22" w:name="product-mfrytwiouh"/>
    <w:p>
      <w:pPr>
        <w:pStyle w:val="Heading2"/>
      </w:pPr>
      <w:r>
        <w:t xml:space="preserve">Product: mfrytwiouh</w:t>
      </w:r>
    </w:p>
    <w:p>
      <w:pPr>
        <w:pStyle w:val="FirstParagraph"/>
      </w:pPr>
      <w:r>
        <w:t xml:space="preserve">Generated Date: June 1, 2026</w: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mfrytwiouh</w:t>
      </w:r>
      <w:r>
        <w:t xml:space="preserve">, manufactured by</w:t>
      </w:r>
      <w:r>
        <w:t xml:space="preserve"> </w:t>
      </w:r>
      <w:r>
        <w:rPr>
          <w:bCs/>
          <w:b/>
        </w:rPr>
        <w:t xml:space="preserve">xpehdumyrk</w:t>
      </w:r>
      <w:r>
        <w:t xml:space="preserve">. Conducted by Senior Sustainability Consultant</w:t>
      </w:r>
      <w:r>
        <w:t xml:space="preserve"> </w:t>
      </w:r>
      <w:r>
        <w:rPr>
          <w:bCs/>
          <w:b/>
        </w:rPr>
        <w:t xml:space="preserve">pygwiezmlp</w:t>
      </w:r>
      <w:r>
        <w:t xml:space="preserve">, this assessment adheres strictly to the GHG Protocol, including the 2026 Land Sector and Removals (LSR) Standard. The analysis covers the entire lifecycle, from raw material extraction to end-of-life, categorizing emissions into Scope 1, Scope 2, and Scope 3, with a particular focus on achieving over 95% coverage for Scope 3 emissions as per 2026 requirements. The objective is to identify carbon hotspots and provide a reliable baseline for emission reduction strategies.</w:t>
      </w:r>
    </w:p>
    <w:bookmarkEnd w:id="24"/>
    <w:p>
      <w:r>
        <w:pict>
          <v:rect style="width:0;height:1.5pt" o:hralign="center" o:hrstd="t" o:hr="t"/>
        </w:pict>
      </w:r>
    </w:p>
    <w:bookmarkStart w:id="26" w:name="methodology-and-scope-definition"/>
    <w:p>
      <w:pPr>
        <w:pStyle w:val="Heading2"/>
      </w:pPr>
      <w:r>
        <w:t xml:space="preserve">1. Methodology and Scope Definition</w:t>
      </w:r>
    </w:p>
    <w:p>
      <w:pPr>
        <w:pStyle w:val="FirstParagraph"/>
      </w:pPr>
      <w:r>
        <w:t xml:space="preserve">The Product Carbon Footprint (PCF) analysis for mfrytwiouh follows the GHG Protocol Product Standard, employing a five-step methodology to ensure comprehensive and accurate assessment.</w:t>
      </w:r>
    </w:p>
    <w:bookmarkStart w:id="25"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reference flow for this analysis is 1.0 unit of mfrytwiouh. This unit provides a quantified measure of the performance of the product system.</w:t>
      </w:r>
    </w:p>
    <w:p>
      <w:pPr>
        <w:numPr>
          <w:ilvl w:val="0"/>
          <w:numId w:val="1001"/>
        </w:numPr>
        <w:pStyle w:val="Compact"/>
      </w:pPr>
      <w:r>
        <w:rPr>
          <w:bCs/>
          <w:b/>
        </w:rPr>
        <w:t xml:space="preserve">System Boundary:</w:t>
      </w:r>
      <w:r>
        <w:t xml:space="preserve"> </w:t>
      </w:r>
      <w:r>
        <w:t xml:space="preserve">The analysis adopts a "factory_gate" system boundary. This encompasses all processes from raw material acquisition and pre-processing, manufacturing, and transport up to the point the product leaves the factory gate. For comprehensive Scope 3 reporting, the scope is extended to include the use phase and end-of-life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upstream supply chain activities and their associated emissions are primarily considered within a European context where applicable.</w:t>
      </w:r>
    </w:p>
    <w:p>
      <w:pPr>
        <w:numPr>
          <w:ilvl w:val="0"/>
          <w:numId w:val="1001"/>
        </w:numPr>
        <w:pStyle w:val="Compact"/>
      </w:pPr>
      <w:r>
        <w:rPr>
          <w:bCs/>
          <w:b/>
        </w:rPr>
        <w:t xml:space="preserve">Allocation:</w:t>
      </w:r>
      <w:r>
        <w:t xml:space="preserve"> </w:t>
      </w:r>
      <w:r>
        <w:t xml:space="preserve">Where co-production or multi-output processes occur, emissions are allocated based on a mass-based approach, assuming a direct correlation between mass and environmental impact for the materials and processes involved.</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 Product Standard</w:t>
      </w:r>
      <w:r>
        <w:t xml:space="preserve">. This standard provides a comprehensive framework for measuring and managing emissions throughout a product\'s lifecycle, ensuring consistency and comparability.</w:t>
      </w:r>
    </w:p>
    <w:bookmarkEnd w:id="25"/>
    <w:bookmarkEnd w:id="26"/>
    <w:p>
      <w:r>
        <w:pict>
          <v:rect style="width:0;height:1.5pt" o:hralign="center" o:hrstd="t" o:hr="t"/>
        </w:pict>
      </w:r>
    </w:p>
    <w:bookmarkStart w:id="34" w:name="lifecycle-mapping-lci-inventory-stages"/>
    <w:p>
      <w:pPr>
        <w:pStyle w:val="Heading2"/>
      </w:pPr>
      <w:r>
        <w:t xml:space="preserve">2. Lifecycle Mapping (LCI Inventory Stages)</w:t>
      </w:r>
    </w:p>
    <w:p>
      <w:pPr>
        <w:pStyle w:val="FirstParagraph"/>
      </w:pPr>
      <w:r>
        <w:t xml:space="preserve">The lifecycle of mfrytwiouh is mapped across several key stages to capture all relevant Greenhouse Gas (GHG) emissions.</w:t>
      </w:r>
    </w:p>
    <w:bookmarkStart w:id="28" w:name="Xff31e690bfe279af69cf88b9219fe5d56042afb"/>
    <w:p>
      <w:pPr>
        <w:pStyle w:val="Heading3"/>
      </w:pPr>
      <w:r>
        <w:t xml:space="preserve">2.1. Raw Material Acquisition &amp; Pre-processing (Scope 3 - Upstream)</w:t>
      </w:r>
    </w:p>
    <w:p>
      <w:pPr>
        <w:pStyle w:val="FirstParagraph"/>
      </w:pPr>
      <w:r>
        <w:t xml:space="preserve">This stage includes the extraction, processing, and refining of all raw materials used in mfrytwiouh. Given that the specific Bill of Materials (BOM) was provided as</w:t>
      </w:r>
      <w:r>
        <w:t xml:space="preserve"> </w:t>
      </w:r>
      <w:r>
        <w:rPr>
          <w:rStyle w:val="VerbatimChar"/>
        </w:rPr>
        <w:t xml:space="preserve">dfzrjskl</w:t>
      </w:r>
      <w:r>
        <w:t xml:space="preserve">, we understand the expectation is for detailed material impact calculation. For this report, we will use an illustrative BOM structure based on the format provided, demonstrating how actual data would be processed.</w:t>
      </w:r>
    </w:p>
    <w:bookmarkStart w:id="27" w:name="X7046529e1dcfa964bfaa5f93f4a44c78cc382b1"/>
    <w:p>
      <w:pPr>
        <w:pStyle w:val="Heading4"/>
      </w:pPr>
      <w:r>
        <w:t xml:space="preserve">Illustrative Detailed Bill of Materials (BOM) for mfrytwiouh</w:t>
      </w:r>
    </w:p>
    <w:p>
      <w:pPr>
        <w:pStyle w:val="FirstParagraph"/>
      </w:pPr>
      <w:r>
        <w:rPr>
          <w:iCs/>
          <w:i/>
        </w:rPr>
        <w:t xml:space="preserve">Note: The actual BOM data,</w:t>
      </w:r>
      <w:r>
        <w:rPr>
          <w:iCs/>
          <w:i/>
        </w:rPr>
        <w:t xml:space="preserve"> </w:t>
      </w:r>
      <w:r>
        <w:rPr>
          <w:rStyle w:val="VerbatimChar"/>
          <w:iCs/>
          <w:i/>
        </w:rPr>
        <w:t xml:space="preserve">dfzrjskl</w:t>
      </w:r>
      <w:r>
        <w:rPr>
          <w:iCs/>
          <w:i/>
        </w:rPr>
        <w:t xml:space="preserve">, would be processed here. For demonstration purposes, illustrative data following the specified format (ID, Description, Category, Process, Qty, Unit, Emission Factor, Total Carbon) is used. Emission Factors are generic and for illustrative purposes, referencing typical values from databases like Ecoinvent.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A356</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Semiconductors</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Components</w:t>
            </w:r>
          </w:p>
        </w:tc>
        <w:tc>
          <w:tcPr/>
          <w:p>
            <w:pPr>
              <w:pStyle w:val="Compact"/>
              <w:jc w:val="left"/>
            </w:pPr>
            <w:r>
              <w:t xml:space="preserve">Battery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bl>
    <w:p>
      <w:pPr>
        <w:pStyle w:val="BodyText"/>
      </w:pPr>
      <w:r>
        <w:rPr>
          <w:bCs/>
          <w:b/>
        </w:rPr>
        <w:t xml:space="preserve">Total Illustrative Material Carbon Footprint:</w:t>
      </w:r>
      <w:r>
        <w:t xml:space="preserve"> </w:t>
      </w:r>
      <w:r>
        <w:t xml:space="preserve">~18.6 kg CO2e</w:t>
      </w:r>
    </w:p>
    <w:bookmarkEnd w:id="27"/>
    <w:bookmarkEnd w:id="28"/>
    <w:bookmarkStart w:id="30" w:name="manufacturingproduction-scope-1-2"/>
    <w:p>
      <w:pPr>
        <w:pStyle w:val="Heading3"/>
      </w:pPr>
      <w:r>
        <w:t xml:space="preserve">2.2. Manufacturing/Production (Scope 1 &amp; 2)</w:t>
      </w:r>
    </w:p>
    <w:p>
      <w:pPr>
        <w:pStyle w:val="FirstParagraph"/>
      </w:pPr>
      <w:r>
        <w:t xml:space="preserve">This stage covers the energy consumption and direct emissions from the manufacturing processes at the production facility in China.</w:t>
      </w:r>
    </w:p>
    <w:bookmarkStart w:id="29" w:name="energy-inputs-for-production"/>
    <w:p>
      <w:pPr>
        <w:pStyle w:val="Heading4"/>
      </w:pPr>
      <w:r>
        <w:t xml:space="preserve">Energy Inputs for Production</w:t>
      </w:r>
    </w:p>
    <w:p>
      <w:pPr>
        <w:numPr>
          <w:ilvl w:val="0"/>
          <w:numId w:val="1003"/>
        </w:numPr>
        <w:pStyle w:val="Compact"/>
      </w:pPr>
      <w:r>
        <w:rPr>
          <w:bCs/>
          <w:b/>
        </w:rPr>
        <w:t xml:space="preserve">Energy Intensity (kWh/unit):</w:t>
      </w:r>
      <w:r>
        <w:t xml:space="preserve"> </w:t>
      </w:r>
      <w:r>
        <w:rPr>
          <w:rStyle w:val="VerbatimChar"/>
        </w:rPr>
        <w:t xml:space="preserve">wwppolgsur</w:t>
      </w:r>
      <w:r>
        <w:t xml:space="preserve"> </w:t>
      </w:r>
      <w:r>
        <w:t xml:space="preserve">kWh/unit. This specific value is crucial for calculating energy-related emissions during production.</w:t>
      </w:r>
    </w:p>
    <w:p>
      <w:pPr>
        <w:numPr>
          <w:ilvl w:val="0"/>
          <w:numId w:val="1003"/>
        </w:numPr>
        <w:pStyle w:val="Compact"/>
      </w:pPr>
      <w:r>
        <w:rPr>
          <w:bCs/>
          <w:b/>
        </w:rPr>
        <w:t xml:space="preserve">Renewable Energy Usage:</w:t>
      </w:r>
      <w:r>
        <w:t xml:space="preserve"> </w:t>
      </w:r>
      <w:r>
        <w:rPr>
          <w:rStyle w:val="VerbatimChar"/>
        </w:rPr>
        <w:t xml:space="preserve">efnmdguwhk</w:t>
      </w:r>
      <w:r>
        <w:t xml:space="preserve">. This percentage indicates the portion of energy sourced from renewable origins, directly impacting the Scope 2 emissions calculation.</w:t>
      </w:r>
    </w:p>
    <w:bookmarkEnd w:id="29"/>
    <w:bookmarkEnd w:id="30"/>
    <w:bookmarkStart w:id="31" w:name="transport-scope-3---upstream-downstream"/>
    <w:p>
      <w:pPr>
        <w:pStyle w:val="Heading3"/>
      </w:pPr>
      <w:r>
        <w:t xml:space="preserve">2.3. Transport (Scope 3 - Upstream &amp; Downstream)</w:t>
      </w:r>
    </w:p>
    <w:p>
      <w:pPr>
        <w:pStyle w:val="FirstParagraph"/>
      </w:pPr>
      <w:r>
        <w:t xml:space="preserve">Transportation activities are integral to the product\'s lifecycle, covering both inbound logistics (raw materials to factory) and outbound logistics (finished product to distribution/customer).</w:t>
      </w:r>
    </w:p>
    <w:p>
      <w:pPr>
        <w:numPr>
          <w:ilvl w:val="0"/>
          <w:numId w:val="1004"/>
        </w:numPr>
        <w:pStyle w:val="Compact"/>
      </w:pPr>
      <w:r>
        <w:rPr>
          <w:bCs/>
          <w:b/>
        </w:rPr>
        <w:t xml:space="preserve">Transport Mode:</w:t>
      </w:r>
      <w:r>
        <w:t xml:space="preserve"> </w:t>
      </w:r>
      <w:r>
        <w:rPr>
          <w:rStyle w:val="VerbatimChar"/>
        </w:rPr>
        <w:t xml:space="preserve">Select Mode</w:t>
      </w:r>
      <w:r>
        <w:t xml:space="preserve">. This specific mode (e.g., Road freight, Ocean freight, Air freight) significantly influences the emission factor.</w:t>
      </w:r>
    </w:p>
    <w:p>
      <w:pPr>
        <w:numPr>
          <w:ilvl w:val="0"/>
          <w:numId w:val="1004"/>
        </w:numPr>
        <w:pStyle w:val="Compact"/>
      </w:pPr>
      <w:r>
        <w:rPr>
          <w:bCs/>
          <w:b/>
        </w:rPr>
        <w:t xml:space="preserve">Transport Distance:</w:t>
      </w:r>
      <w:r>
        <w:t xml:space="preserve"> </w:t>
      </w:r>
      <w:r>
        <w:rPr>
          <w:rStyle w:val="VerbatimChar"/>
        </w:rPr>
        <w:t xml:space="preserve">olgeroozgu</w:t>
      </w:r>
      <w:r>
        <w:t xml:space="preserve"> </w:t>
      </w:r>
      <w:r>
        <w:t xml:space="preserve">km. This distance is a key parameter for calculating the total transport emissions.</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Emissions from the final leg of delivery to the customer are accounted for.</w:t>
      </w:r>
    </w:p>
    <w:bookmarkEnd w:id="31"/>
    <w:bookmarkStart w:id="32" w:name="use-phase-scope-3---downstream"/>
    <w:p>
      <w:pPr>
        <w:pStyle w:val="Heading3"/>
      </w:pPr>
      <w:r>
        <w:t xml:space="preserve">2.4. Use Phase (Scope 3 - Downstream)</w:t>
      </w:r>
    </w:p>
    <w:p>
      <w:pPr>
        <w:pStyle w:val="FirstParagraph"/>
      </w:pPr>
      <w:r>
        <w:t xml:space="preserve">The use phase considers the energy consumption during the product\'s operational lifetime by the end-user.</w:t>
      </w:r>
    </w:p>
    <w:p>
      <w:pPr>
        <w:numPr>
          <w:ilvl w:val="0"/>
          <w:numId w:val="1005"/>
        </w:numPr>
        <w:pStyle w:val="Compact"/>
      </w:pPr>
      <w:r>
        <w:rPr>
          <w:bCs/>
          <w:b/>
        </w:rPr>
        <w:t xml:space="preserve">Product Lifespan:</w:t>
      </w:r>
      <w:r>
        <w:t xml:space="preserve"> </w:t>
      </w:r>
      <w:r>
        <w:rPr>
          <w:rStyle w:val="VerbatimChar"/>
        </w:rPr>
        <w:t xml:space="preserve">otjvlgrjfz</w:t>
      </w:r>
      <w:r>
        <w:t xml:space="preserve">. This duration (e.g., in years) determines the total period over which use-phase energy consumption is calculated.</w:t>
      </w:r>
    </w:p>
    <w:p>
      <w:pPr>
        <w:numPr>
          <w:ilvl w:val="0"/>
          <w:numId w:val="1005"/>
        </w:numPr>
        <w:pStyle w:val="Compact"/>
      </w:pPr>
      <w:r>
        <w:rPr>
          <w:bCs/>
          <w:b/>
        </w:rPr>
        <w:t xml:space="preserve">Energy Consumption in Use:</w:t>
      </w:r>
      <w:r>
        <w:t xml:space="preserve"> </w:t>
      </w:r>
      <w:r>
        <w:rPr>
          <w:rStyle w:val="VerbatimChar"/>
        </w:rPr>
        <w:t xml:space="preserve">kygqenpung</w:t>
      </w:r>
      <w:r>
        <w:t xml:space="preserve"> </w:t>
      </w:r>
      <w:r>
        <w:t xml:space="preserve">kWh/period (e.g., per year). This value quantifies the electricity or fuel consumed by the product during its operational use.</w:t>
      </w:r>
    </w:p>
    <w:bookmarkEnd w:id="32"/>
    <w:bookmarkStart w:id="33" w:name="end-of-life-eol-scope-3---downstream"/>
    <w:p>
      <w:pPr>
        <w:pStyle w:val="Heading3"/>
      </w:pPr>
      <w:r>
        <w:t xml:space="preserve">2.5. End-of-Life (EoL) (Scope 3 - Downstream)</w:t>
      </w:r>
    </w:p>
    <w:p>
      <w:pPr>
        <w:pStyle w:val="FirstParagraph"/>
      </w:pPr>
      <w:r>
        <w:t xml:space="preserve">This stage accounts for the fate of the product after its useful life, including disposal, recycling, and recovery.</w:t>
      </w:r>
    </w:p>
    <w:p>
      <w:pPr>
        <w:numPr>
          <w:ilvl w:val="0"/>
          <w:numId w:val="1006"/>
        </w:numPr>
        <w:pStyle w:val="Compact"/>
      </w:pPr>
      <w:r>
        <w:rPr>
          <w:bCs/>
          <w:b/>
        </w:rPr>
        <w:t xml:space="preserve">Recyclability Percentage:</w:t>
      </w:r>
      <w:r>
        <w:t xml:space="preserve"> </w:t>
      </w:r>
      <w:r>
        <w:rPr>
          <w:rStyle w:val="VerbatimChar"/>
        </w:rPr>
        <w:t xml:space="preserve">xsxjggdrkz</w:t>
      </w:r>
      <w:r>
        <w:t xml:space="preserve">. A higher percentage indicates reduced virgin material demand and avoided emissions.</w:t>
      </w:r>
    </w:p>
    <w:p>
      <w:pPr>
        <w:numPr>
          <w:ilvl w:val="0"/>
          <w:numId w:val="1006"/>
        </w:numPr>
        <w:pStyle w:val="Compact"/>
      </w:pPr>
      <w:r>
        <w:rPr>
          <w:bCs/>
          <w:b/>
        </w:rPr>
        <w:t xml:space="preserve">Circular/Take-back Programs:</w:t>
      </w:r>
      <w:r>
        <w:t xml:space="preserve"> </w:t>
      </w:r>
      <w:r>
        <w:rPr>
          <w:rStyle w:val="VerbatimChar"/>
        </w:rPr>
        <w:t xml:space="preserve">yekorhuiqp</w:t>
      </w:r>
      <w:r>
        <w:t xml:space="preserve">. The existence of such programs highlights efforts to extend product life, reuse, or facilitate high-value recycling, contributing to circular economy impacts.</w:t>
      </w:r>
    </w:p>
    <w:bookmarkEnd w:id="33"/>
    <w:bookmarkEnd w:id="34"/>
    <w:p>
      <w:r>
        <w:pict>
          <v:rect style="width:0;height:1.5pt" o:hralign="center" o:hrstd="t" o:hr="t"/>
        </w:pict>
      </w:r>
    </w:p>
    <w:bookmarkStart w:id="38" w:name="data-collection"/>
    <w:p>
      <w:pPr>
        <w:pStyle w:val="Heading2"/>
      </w:pPr>
      <w:r>
        <w:t xml:space="preserve">3. Data Collection</w:t>
      </w:r>
    </w:p>
    <w:p>
      <w:pPr>
        <w:pStyle w:val="FirstParagraph"/>
      </w:pPr>
      <w:r>
        <w:t xml:space="preserve">Both primary and secondary data are collected to quantify the environmental impact of mfrytwiouh.</w:t>
      </w:r>
    </w:p>
    <w:bookmarkStart w:id="35" w:name="primary-data-points"/>
    <w:p>
      <w:pPr>
        <w:pStyle w:val="Heading3"/>
      </w:pPr>
      <w:r>
        <w:t xml:space="preserve">3.1. Primary Data Points</w:t>
      </w:r>
    </w:p>
    <w:p>
      <w:pPr>
        <w:numPr>
          <w:ilvl w:val="0"/>
          <w:numId w:val="1007"/>
        </w:numPr>
        <w:pStyle w:val="Compact"/>
      </w:pPr>
      <w:r>
        <w:rPr>
          <w:bCs/>
          <w:b/>
        </w:rPr>
        <w:t xml:space="preserve">Detailed Bill of Materials (BOM):</w:t>
      </w:r>
      <w:r>
        <w:t xml:space="preserve"> </w:t>
      </w:r>
      <w:r>
        <w:t xml:space="preserve">The specific BOM,</w:t>
      </w:r>
      <w:r>
        <w:t xml:space="preserve"> </w:t>
      </w:r>
      <w:r>
        <w:rPr>
          <w:rStyle w:val="VerbatimChar"/>
        </w:rPr>
        <w:t xml:space="preserve">dfzrjskl</w:t>
      </w:r>
      <w:r>
        <w:t xml:space="preserve">, detailing component IDs, descriptions, categories, processes, quantities, units, emission factors, and total carbon contributions for each item. As noted, illustrative data is used in this report due to the generic string input.</w:t>
      </w:r>
    </w:p>
    <w:p>
      <w:pPr>
        <w:numPr>
          <w:ilvl w:val="0"/>
          <w:numId w:val="1007"/>
        </w:numPr>
        <w:pStyle w:val="Compact"/>
      </w:pPr>
      <w:r>
        <w:rPr>
          <w:bCs/>
          <w:b/>
        </w:rPr>
        <w:t xml:space="preserve">Manufacturing Energy Data:</w:t>
      </w:r>
      <w:r>
        <w:t xml:space="preserve"> </w:t>
      </w:r>
      <w:r>
        <w:t xml:space="preserve">Direct energy consumption (</w:t>
      </w:r>
      <w:r>
        <w:rPr>
          <w:rStyle w:val="VerbatimChar"/>
        </w:rPr>
        <w:t xml:space="preserve">wwppolgsur</w:t>
      </w:r>
      <w:r>
        <w:t xml:space="preserve"> </w:t>
      </w:r>
      <w:r>
        <w:t xml:space="preserve">kWh/unit) and the proportion of renewable energy used (</w:t>
      </w:r>
      <w:r>
        <w:rPr>
          <w:rStyle w:val="VerbatimChar"/>
        </w:rPr>
        <w:t xml:space="preserve">efnmdguwhk</w:t>
      </w:r>
      <w:r>
        <w:t xml:space="preserve">) at the xpehdumyrk production facility in China.</w:t>
      </w:r>
    </w:p>
    <w:p>
      <w:pPr>
        <w:numPr>
          <w:ilvl w:val="0"/>
          <w:numId w:val="1007"/>
        </w:numPr>
        <w:pStyle w:val="Compact"/>
      </w:pPr>
      <w:r>
        <w:rPr>
          <w:bCs/>
          <w:b/>
        </w:rPr>
        <w:t xml:space="preserve">Transportation Logistics:</w:t>
      </w:r>
      <w:r>
        <w:t xml:space="preserve"> </w:t>
      </w:r>
      <w:r>
        <w:t xml:space="preserve">Specific transport mode (</w:t>
      </w:r>
      <w:r>
        <w:rPr>
          <w:rStyle w:val="VerbatimChar"/>
        </w:rPr>
        <w:t xml:space="preserve">Select Mode</w:t>
      </w:r>
      <w:r>
        <w:t xml:space="preserve">), distances (</w:t>
      </w:r>
      <w:r>
        <w:rPr>
          <w:rStyle w:val="VerbatimChar"/>
        </w:rPr>
        <w:t xml:space="preserve">olgeroozgu</w:t>
      </w:r>
      <w:r>
        <w:t xml:space="preserve"> </w:t>
      </w:r>
      <w:r>
        <w:t xml:space="preserve">km) for both inbound and outbound logistics, and the last-mile delivery channel (</w:t>
      </w:r>
      <w:r>
        <w:rPr>
          <w:rStyle w:val="VerbatimChar"/>
        </w:rPr>
        <w:t xml:space="preserve">Delivery Type</w:t>
      </w:r>
      <w:r>
        <w:t xml:space="preserve">).</w:t>
      </w:r>
    </w:p>
    <w:p>
      <w:pPr>
        <w:numPr>
          <w:ilvl w:val="0"/>
          <w:numId w:val="1007"/>
        </w:numPr>
        <w:pStyle w:val="Compact"/>
      </w:pPr>
      <w:r>
        <w:rPr>
          <w:bCs/>
          <w:b/>
        </w:rPr>
        <w:t xml:space="preserve">Product Use Phase:</w:t>
      </w:r>
      <w:r>
        <w:t xml:space="preserve"> </w:t>
      </w:r>
      <w:r>
        <w:t xml:space="preserve">Estimated product lifespan (</w:t>
      </w:r>
      <w:r>
        <w:rPr>
          <w:rStyle w:val="VerbatimChar"/>
        </w:rPr>
        <w:t xml:space="preserve">otjvlgrjfz</w:t>
      </w:r>
      <w:r>
        <w:t xml:space="preserve">) and average energy consumption during use (</w:t>
      </w:r>
      <w:r>
        <w:rPr>
          <w:rStyle w:val="VerbatimChar"/>
        </w:rPr>
        <w:t xml:space="preserve">kygqenpung</w:t>
      </w:r>
      <w:r>
        <w:t xml:space="preserve"> </w:t>
      </w:r>
      <w:r>
        <w:t xml:space="preserve">kWh/period).</w:t>
      </w:r>
    </w:p>
    <w:p>
      <w:pPr>
        <w:numPr>
          <w:ilvl w:val="0"/>
          <w:numId w:val="1007"/>
        </w:numPr>
        <w:pStyle w:val="Compact"/>
      </w:pPr>
      <w:r>
        <w:rPr>
          <w:bCs/>
          <w:b/>
        </w:rPr>
        <w:t xml:space="preserve">End-of-Life Information:</w:t>
      </w:r>
      <w:r>
        <w:t xml:space="preserve"> </w:t>
      </w:r>
      <w:r>
        <w:t xml:space="preserve">Recyclability rate (</w:t>
      </w:r>
      <w:r>
        <w:rPr>
          <w:rStyle w:val="VerbatimChar"/>
        </w:rPr>
        <w:t xml:space="preserve">xsxjggdrkz</w:t>
      </w:r>
      <w:r>
        <w:t xml:space="preserve">) and details on existing circular economy or take-back programs (</w:t>
      </w:r>
      <w:r>
        <w:rPr>
          <w:rStyle w:val="VerbatimChar"/>
        </w:rPr>
        <w:t xml:space="preserve">yekorhuiqp</w:t>
      </w:r>
      <w:r>
        <w:t xml:space="preserve">).</w:t>
      </w:r>
    </w:p>
    <w:bookmarkEnd w:id="35"/>
    <w:bookmarkStart w:id="37" w:name="Xc340573bc6c1779b99779b31b96158ae075f94f"/>
    <w:p>
      <w:pPr>
        <w:pStyle w:val="Heading3"/>
      </w:pPr>
      <w:r>
        <w:t xml:space="preserve">3.2. Secondary Data Points and Emission Factors</w:t>
      </w:r>
    </w:p>
    <w:p>
      <w:pPr>
        <w:pStyle w:val="FirstParagraph"/>
      </w:pPr>
      <w:r>
        <w:t xml:space="preserve">For data gaps or general background processes, secondary data and industry-standard emission factors are utilized. These factors convert activity data into CO2 equivalent (CO2e) emissions.</w:t>
      </w:r>
    </w:p>
    <w:p>
      <w:pPr>
        <w:numPr>
          <w:ilvl w:val="0"/>
          <w:numId w:val="1008"/>
        </w:numPr>
        <w:pStyle w:val="Compact"/>
      </w:pPr>
      <w:r>
        <w:rPr>
          <w:bCs/>
          <w:b/>
        </w:rPr>
        <w:t xml:space="preserve">Material Emission Factors:</w:t>
      </w:r>
      <w:r>
        <w:t xml:space="preserve"> </w:t>
      </w:r>
      <w:r>
        <w:t xml:space="preserve">Generic emission factors for various material categories (e.g., metals, plastics, electronics) are drawn from recognized databases such as Ecoinvent and DEFRA. For illustrative purposes, example factors were used in the BOM table.</w:t>
      </w:r>
    </w:p>
    <w:p>
      <w:pPr>
        <w:numPr>
          <w:ilvl w:val="0"/>
          <w:numId w:val="1008"/>
        </w:numPr>
        <w:pStyle w:val="Compact"/>
      </w:pPr>
      <w:r>
        <w:rPr>
          <w:bCs/>
          <w:b/>
        </w:rPr>
        <w:t xml:space="preserve">Energy Emission Factors:</w:t>
      </w:r>
      <w:r>
        <w:t xml:space="preserve"> </w:t>
      </w:r>
      <w:r>
        <w:t xml:space="preserve">Grid electricity emission factors for China are sourced from national and international energy agencies like IEA. Specific factors for renewable energy sources are considered to reflect the cleaner energy mix.</w:t>
      </w:r>
    </w:p>
    <w:p>
      <w:pPr>
        <w:numPr>
          <w:ilvl w:val="0"/>
          <w:numId w:val="1008"/>
        </w:numPr>
        <w:pStyle w:val="Compact"/>
      </w:pPr>
      <w:r>
        <w:rPr>
          <w:bCs/>
          <w:b/>
        </w:rPr>
        <w:t xml:space="preserve">Transport Emission Factors:</w:t>
      </w:r>
      <w:r>
        <w:t xml:space="preserve"> </w:t>
      </w:r>
      <w:r>
        <w:t xml:space="preserve">Emission factors per tonne-kilometer (tkm) or vehicle-kilometer (vkm) for various transport modes (road, sea, air) are obtained from reputable sources like DEFRA or relevant transportation databases.</w:t>
      </w:r>
    </w:p>
    <w:p>
      <w:pPr>
        <w:numPr>
          <w:ilvl w:val="0"/>
          <w:numId w:val="1008"/>
        </w:numPr>
        <w:pStyle w:val="Compact"/>
      </w:pPr>
      <w:r>
        <w:rPr>
          <w:bCs/>
          <w:b/>
        </w:rPr>
        <w:t xml:space="preserve">Waste Management Emission Factors:</w:t>
      </w:r>
      <w:r>
        <w:t xml:space="preserve"> </w:t>
      </w:r>
      <w:r>
        <w:t xml:space="preserve">Factors for different end-of-life scenarios (landfilling, incineration, recycling) are applied based on material type and regional waste management practices.</w:t>
      </w:r>
    </w:p>
    <w:bookmarkStart w:id="36" w:name="illustrative-energy-inputs-table"/>
    <w:p>
      <w:pPr>
        <w:pStyle w:val="Heading4"/>
      </w:pPr>
      <w:r>
        <w:t xml:space="preserve">Illustrative Energy Inputs Table</w:t>
      </w:r>
    </w:p>
    <w:p>
      <w:pPr>
        <w:pStyle w:val="FirstParagraph"/>
      </w:pPr>
      <w:r>
        <w:rPr>
          <w:iCs/>
          <w:i/>
        </w:rPr>
        <w:t xml:space="preserve">Note: Placeholder numeric values are used for demonstration as specific inputs for</w:t>
      </w:r>
      <w:r>
        <w:rPr>
          <w:iCs/>
          <w:i/>
        </w:rPr>
        <w:t xml:space="preserve"> </w:t>
      </w:r>
      <w:r>
        <w:rPr>
          <w:rStyle w:val="VerbatimChar"/>
          <w:iCs/>
          <w:i/>
        </w:rPr>
        <w:t xml:space="preserve">wwppolgsur</w:t>
      </w:r>
      <w:r>
        <w:rPr>
          <w:iCs/>
          <w:i/>
        </w:rPr>
        <w:t xml:space="preserve"> </w:t>
      </w:r>
      <w:r>
        <w:rPr>
          <w:iCs/>
          <w:i/>
        </w:rPr>
        <w:t xml:space="preserve">and</w:t>
      </w:r>
      <w:r>
        <w:rPr>
          <w:iCs/>
          <w:i/>
        </w:rPr>
        <w:t xml:space="preserve"> </w:t>
      </w:r>
      <w:r>
        <w:rPr>
          <w:rStyle w:val="VerbatimChar"/>
          <w:iCs/>
          <w:i/>
        </w:rPr>
        <w:t xml:space="preserve">efnmdguwhk</w:t>
      </w:r>
      <w:r>
        <w:rPr>
          <w:iCs/>
          <w:i/>
        </w:rPr>
        <w:t xml:space="preserve"> </w:t>
      </w:r>
      <w:r>
        <w:rPr>
          <w:iCs/>
          <w:i/>
        </w:rPr>
        <w:t xml:space="preserve">were provided as strings.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Source/Comment</w:t>
            </w:r>
          </w:p>
        </w:tc>
      </w:tr>
      <w:tr>
        <w:tc>
          <w:tcPr/>
          <w:p>
            <w:pPr>
              <w:pStyle w:val="Compact"/>
              <w:jc w:val="left"/>
            </w:pPr>
            <w:r>
              <w:t xml:space="preserve">Energy Intensity (Production)</w:t>
            </w:r>
          </w:p>
        </w:tc>
        <w:tc>
          <w:tcPr/>
          <w:p>
            <w:pPr>
              <w:pStyle w:val="Compact"/>
              <w:jc w:val="left"/>
            </w:pPr>
            <w:r>
              <w:t xml:space="preserve">15.0 (illustrative for</w:t>
            </w:r>
            <w:r>
              <w:t xml:space="preserve"> </w:t>
            </w:r>
            <w:r>
              <w:rPr>
                <w:rStyle w:val="VerbatimChar"/>
              </w:rPr>
              <w:t xml:space="preserve">wwppolgsur</w:t>
            </w:r>
            <w:r>
              <w:t xml:space="preserve">)</w:t>
            </w:r>
          </w:p>
        </w:tc>
        <w:tc>
          <w:tcPr/>
          <w:p>
            <w:pPr>
              <w:pStyle w:val="Compact"/>
              <w:jc w:val="left"/>
            </w:pPr>
            <w:r>
              <w:t xml:space="preserve">kWh/unit</w:t>
            </w:r>
          </w:p>
        </w:tc>
        <w:tc>
          <w:tcPr/>
          <w:p>
            <w:pPr>
              <w:pStyle w:val="Compact"/>
              <w:jc w:val="left"/>
            </w:pPr>
            <w:r>
              <w:t xml:space="preserve">Primary data from xpehdumyrk</w:t>
            </w:r>
          </w:p>
        </w:tc>
      </w:tr>
      <w:tr>
        <w:tc>
          <w:tcPr/>
          <w:p>
            <w:pPr>
              <w:pStyle w:val="Compact"/>
              <w:jc w:val="left"/>
            </w:pPr>
            <w:r>
              <w:t xml:space="preserve">Renewable Energy Usage (Production)</w:t>
            </w:r>
          </w:p>
        </w:tc>
        <w:tc>
          <w:tcPr/>
          <w:p>
            <w:pPr>
              <w:pStyle w:val="Compact"/>
              <w:jc w:val="left"/>
            </w:pPr>
            <w:r>
              <w:t xml:space="preserve">60% (illustrative for</w:t>
            </w:r>
            <w:r>
              <w:t xml:space="preserve"> </w:t>
            </w:r>
            <w:r>
              <w:rPr>
                <w:rStyle w:val="VerbatimChar"/>
              </w:rPr>
              <w:t xml:space="preserve">efnmdguwhk</w:t>
            </w:r>
            <w:r>
              <w:t xml:space="preserve">)</w:t>
            </w:r>
          </w:p>
        </w:tc>
        <w:tc>
          <w:tcPr/>
          <w:p>
            <w:pPr>
              <w:pStyle w:val="Compact"/>
              <w:jc w:val="left"/>
            </w:pPr>
            <w:r>
              <w:t xml:space="preserve">%</w:t>
            </w:r>
          </w:p>
        </w:tc>
        <w:tc>
          <w:tcPr/>
          <w:p>
            <w:pPr>
              <w:pStyle w:val="Compact"/>
              <w:jc w:val="left"/>
            </w:pPr>
            <w:r>
              <w:t xml:space="preserve">Primary data from xpehdumyrk</w:t>
            </w:r>
          </w:p>
        </w:tc>
      </w:tr>
      <w:tr>
        <w:tc>
          <w:tcPr/>
          <w:p>
            <w:pPr>
              <w:pStyle w:val="Compact"/>
              <w:jc w:val="left"/>
            </w:pPr>
            <w:r>
              <w:t xml:space="preserve">Grid Electricity Emission Factor (China)</w:t>
            </w:r>
          </w:p>
        </w:tc>
        <w:tc>
          <w:tcPr/>
          <w:p>
            <w:pPr>
              <w:pStyle w:val="Compact"/>
              <w:jc w:val="left"/>
            </w:pPr>
            <w:r>
              <w:t xml:space="preserve">0.577</w:t>
            </w:r>
          </w:p>
        </w:tc>
        <w:tc>
          <w:tcPr/>
          <w:p>
            <w:pPr>
              <w:pStyle w:val="Compact"/>
              <w:jc w:val="left"/>
            </w:pPr>
            <w:r>
              <w:t xml:space="preserve">kg CO2e/kWh</w:t>
            </w:r>
          </w:p>
        </w:tc>
        <w:tc>
          <w:tcPr/>
          <w:p>
            <w:pPr>
              <w:pStyle w:val="Compact"/>
              <w:jc w:val="left"/>
            </w:pPr>
            <w:r>
              <w:t xml:space="preserve">Secondary (IEA, 2025; equivalent to 577 kg CO2e/MWh)</w:t>
            </w:r>
          </w:p>
        </w:tc>
      </w:tr>
      <w:tr>
        <w:tc>
          <w:tcPr/>
          <w:p>
            <w:pPr>
              <w:pStyle w:val="Compact"/>
              <w:jc w:val="left"/>
            </w:pPr>
            <w:r>
              <w:t xml:space="preserve">Renewable Energy Emission Factor</w:t>
            </w:r>
          </w:p>
        </w:tc>
        <w:tc>
          <w:tcPr/>
          <w:p>
            <w:pPr>
              <w:pStyle w:val="Compact"/>
              <w:jc w:val="left"/>
            </w:pPr>
            <w:r>
              <w:t xml:space="preserve">0.01</w:t>
            </w:r>
          </w:p>
        </w:tc>
        <w:tc>
          <w:tcPr/>
          <w:p>
            <w:pPr>
              <w:pStyle w:val="Compact"/>
              <w:jc w:val="left"/>
            </w:pPr>
            <w:r>
              <w:t xml:space="preserve">kg CO2e/kWh</w:t>
            </w:r>
          </w:p>
        </w:tc>
        <w:tc>
          <w:tcPr/>
          <w:p>
            <w:pPr>
              <w:pStyle w:val="Compact"/>
              <w:jc w:val="left"/>
            </w:pPr>
            <w:r>
              <w:t xml:space="preserve">Secondary (e.g., Hydro, Solar)</w:t>
            </w:r>
          </w:p>
        </w:tc>
      </w:tr>
    </w:tbl>
    <w:bookmarkEnd w:id="36"/>
    <w:bookmarkEnd w:id="37"/>
    <w:bookmarkEnd w:id="38"/>
    <w:p>
      <w:r>
        <w:pict>
          <v:rect style="width:0;height:1.5pt" o:hralign="center" o:hrstd="t" o:hr="t"/>
        </w:pict>
      </w:r>
    </w:p>
    <w:bookmarkStart w:id="42" w:name="emissions-calculation"/>
    <w:p>
      <w:pPr>
        <w:pStyle w:val="Heading2"/>
      </w:pPr>
      <w:r>
        <w:t xml:space="preserve">4. Emissions Calculation</w:t>
      </w:r>
    </w:p>
    <w:p>
      <w:pPr>
        <w:pStyle w:val="FirstParagraph"/>
      </w:pPr>
      <w:r>
        <w:t xml:space="preserve">Emissions are calculated by multiplying activity data (e.g., quantity of material, energy consumed, distance traveled) by appropriate emission factors. All emissions are reported in CO2 equivalent (CO2e), encompassing all relevant greenhouse gases.</w:t>
      </w:r>
    </w:p>
    <w:bookmarkStart w:id="39" w:name="ghg-protocol-categorization-scope-1-2-3"/>
    <w:p>
      <w:pPr>
        <w:pStyle w:val="Heading3"/>
      </w:pPr>
      <w:r>
        <w:t xml:space="preserve">4.1. GHG Protocol Categorization (Scope 1, 2, 3)</w:t>
      </w:r>
    </w:p>
    <w:p>
      <w:pPr>
        <w:numPr>
          <w:ilvl w:val="0"/>
          <w:numId w:val="1009"/>
        </w:numPr>
      </w:pPr>
      <w:r>
        <w:rPr>
          <w:bCs/>
          <w:b/>
        </w:rPr>
        <w:t xml:space="preserve">Scope 1: Direct Emissions</w:t>
      </w:r>
    </w:p>
    <w:p>
      <w:pPr>
        <w:numPr>
          <w:ilvl w:val="0"/>
          <w:numId w:val="1000"/>
        </w:numPr>
      </w:pPr>
      <w:r>
        <w:t xml:space="preserve">These are direct emissions from sources owned or controlled by xpehdumyrk during the manufacturing of mfrytwiouh (e.g., emissions from company-owned vehicles, on-site fuel combustion). For this PCF, assuming no significant on-site combustion for the product, these might be minimal or zero at the factory gate level, primarily focusing on manufacturing process direct emissions if applicable.</w:t>
      </w:r>
    </w:p>
    <w:p>
      <w:pPr>
        <w:numPr>
          <w:ilvl w:val="0"/>
          <w:numId w:val="1009"/>
        </w:numPr>
      </w:pPr>
      <w:r>
        <w:rPr>
          <w:bCs/>
          <w:b/>
        </w:rPr>
        <w:t xml:space="preserve">Scope 2: Energy Indirect Emissions</w:t>
      </w:r>
    </w:p>
    <w:p>
      <w:pPr>
        <w:numPr>
          <w:ilvl w:val="0"/>
          <w:numId w:val="1000"/>
        </w:numPr>
      </w:pPr>
      <w:r>
        <w:t xml:space="preserve">These are emissions from the generation of purchased electricity, steam, heating, or cooling consumed by xpehdumyrk in the manufacturing of mfrytwiouh. The calculation uses the provided energy intensity (</w:t>
      </w:r>
      <w:r>
        <w:rPr>
          <w:rStyle w:val="VerbatimChar"/>
        </w:rPr>
        <w:t xml:space="preserve">wwppolgsur</w:t>
      </w:r>
      <w:r>
        <w:t xml:space="preserve">) and the renewable energy usage (</w:t>
      </w:r>
      <w:r>
        <w:rPr>
          <w:rStyle w:val="VerbatimChar"/>
        </w:rPr>
        <w:t xml:space="preserve">efnmdguwhk</w:t>
      </w:r>
      <w:r>
        <w:t xml:space="preserve">) to determine the grid electricity portion and its associated emissions.</w:t>
      </w:r>
    </w:p>
    <w:p>
      <w:pPr>
        <w:numPr>
          <w:ilvl w:val="0"/>
          <w:numId w:val="1000"/>
        </w:numPr>
      </w:pPr>
      <w:r>
        <w:rPr>
          <w:iCs/>
          <w:i/>
        </w:rPr>
        <w:t xml:space="preserve">Illustrative Calculation:</w:t>
      </w:r>
      <w:r>
        <w:br/>
      </w:r>
      <w:r>
        <w:t xml:space="preserve">Total Energy Consumption =</w:t>
      </w:r>
      <w:r>
        <w:t xml:space="preserve"> </w:t>
      </w:r>
      <w:r>
        <w:rPr>
          <w:rStyle w:val="VerbatimChar"/>
        </w:rPr>
        <w:t xml:space="preserve">wwppolgsur</w:t>
      </w:r>
      <w:r>
        <w:t xml:space="preserve"> </w:t>
      </w:r>
      <w:r>
        <w:t xml:space="preserve">kWh/unit = 15.0 kWh/unit</w:t>
      </w:r>
      <w:r>
        <w:br/>
      </w:r>
      <w:r>
        <w:t xml:space="preserve">Renewable Energy Portion =</w:t>
      </w:r>
      <w:r>
        <w:t xml:space="preserve"> </w:t>
      </w:r>
      <w:r>
        <w:rPr>
          <w:rStyle w:val="VerbatimChar"/>
        </w:rPr>
        <w:t xml:space="preserve">efnmdguwhk</w:t>
      </w:r>
      <w:r>
        <w:t xml:space="preserve"> </w:t>
      </w:r>
      <w:r>
        <w:t xml:space="preserve">= 60%</w:t>
      </w:r>
      <w:r>
        <w:br/>
      </w:r>
      <w:r>
        <w:t xml:space="preserve">Grid Electricity Consumption = 15.0 kWh/unit * (1 - 0.60) = 6.0 kWh/unit</w:t>
      </w:r>
      <w:r>
        <w:br/>
      </w:r>
      <w:r>
        <w:t xml:space="preserve">Scope 2 Emissions = 6.0 kWh/unit * 0.577 kg CO2e/kWh (China Grid EF) = 3.46 kg CO2e/unit</w:t>
      </w:r>
    </w:p>
    <w:p>
      <w:pPr>
        <w:numPr>
          <w:ilvl w:val="0"/>
          <w:numId w:val="1009"/>
        </w:numPr>
      </w:pPr>
      <w:r>
        <w:rPr>
          <w:bCs/>
          <w:b/>
        </w:rPr>
        <w:t xml:space="preserve">Scope 3: Other Indirect Emissions (Value Chain Emissions)</w:t>
      </w:r>
    </w:p>
    <w:p>
      <w:pPr>
        <w:numPr>
          <w:ilvl w:val="0"/>
          <w:numId w:val="1000"/>
        </w:numPr>
      </w:pPr>
      <w:r>
        <w:t xml:space="preserve">These encompass all other indirect emissions that occur in the value chain of xpehdumyrk, both upstream and downstream. A significant focus is placed on achieving at least 95% coverage for Scope 3 reporting, as per 2026 requirements, ensuring a comprehensive assessment of the product\'s value chain impact.</w:t>
      </w:r>
    </w:p>
    <w:p>
      <w:pPr>
        <w:numPr>
          <w:ilvl w:val="1"/>
          <w:numId w:val="1010"/>
        </w:numPr>
      </w:pPr>
      <w:r>
        <w:rPr>
          <w:bCs/>
          <w:b/>
        </w:rPr>
        <w:t xml:space="preserve">Upstream Emissions (Category 1: Purchased Goods and Services):</w:t>
      </w:r>
    </w:p>
    <w:p>
      <w:pPr>
        <w:numPr>
          <w:ilvl w:val="1"/>
          <w:numId w:val="1000"/>
        </w:numPr>
      </w:pPr>
      <w:r>
        <w:t xml:space="preserve">This includes the emissions from raw material acquisition and pre-processing, based on the detailed BOM (</w:t>
      </w:r>
      <w:r>
        <w:rPr>
          <w:rStyle w:val="VerbatimChar"/>
        </w:rPr>
        <w:t xml:space="preserve">dfzrjskl</w:t>
      </w:r>
      <w:r>
        <w:t xml:space="preserve">/illustrative data).</w:t>
      </w:r>
    </w:p>
    <w:p>
      <w:pPr>
        <w:numPr>
          <w:ilvl w:val="1"/>
          <w:numId w:val="1000"/>
        </w:numPr>
      </w:pPr>
      <w:r>
        <w:rPr>
          <w:iCs/>
          <w:i/>
        </w:rPr>
        <w:t xml:space="preserve">Illustrative Calculation:</w:t>
      </w:r>
      <w:r>
        <w:t xml:space="preserve"> </w:t>
      </w:r>
      <w:r>
        <w:t xml:space="preserve">Based on the illustrative BOM, total material carbon footprint is ~18.6 kg CO2e/unit.</w:t>
      </w:r>
    </w:p>
    <w:p>
      <w:pPr>
        <w:numPr>
          <w:ilvl w:val="1"/>
          <w:numId w:val="1010"/>
        </w:numPr>
      </w:pPr>
      <w:r>
        <w:rPr>
          <w:bCs/>
          <w:b/>
        </w:rPr>
        <w:t xml:space="preserve">Upstream Emissions (Category 4: Upstream Transportation and Distribution):</w:t>
      </w:r>
    </w:p>
    <w:p>
      <w:pPr>
        <w:numPr>
          <w:ilvl w:val="1"/>
          <w:numId w:val="1000"/>
        </w:numPr>
      </w:pPr>
      <w:r>
        <w:t xml:space="preserve">Emissions from inbound transport of raw materials and components to the factory. This accounts for the</w:t>
      </w:r>
      <w:r>
        <w:t xml:space="preserve"> </w:t>
      </w:r>
      <w:r>
        <w:rPr>
          <w:rStyle w:val="VerbatimChar"/>
        </w:rPr>
        <w:t xml:space="preserve">Select Mode</w:t>
      </w:r>
      <w:r>
        <w:t xml:space="preserve"> </w:t>
      </w:r>
      <w:r>
        <w:t xml:space="preserve">and</w:t>
      </w:r>
      <w:r>
        <w:t xml:space="preserve"> </w:t>
      </w:r>
      <w:r>
        <w:rPr>
          <w:rStyle w:val="VerbatimChar"/>
        </w:rPr>
        <w:t xml:space="preserve">olgeroozgu</w:t>
      </w:r>
      <w:r>
        <w:t xml:space="preserve"> </w:t>
      </w:r>
      <w:r>
        <w:t xml:space="preserve">km distance. While not explicitly detailed, a reasonable assumption of raw material transport from Europe-focused supply chain to China production is considered.</w:t>
      </w:r>
    </w:p>
    <w:p>
      <w:pPr>
        <w:numPr>
          <w:ilvl w:val="1"/>
          <w:numId w:val="1000"/>
        </w:numPr>
      </w:pPr>
      <w:r>
        <w:rPr>
          <w:iCs/>
          <w:i/>
        </w:rPr>
        <w:t xml:space="preserve">Illustrative Calculation (e.g., for 100 kg materials over 5000 km by sea freight, assuming a representative container ship EF):</w:t>
      </w:r>
      <w:r>
        <w:br/>
      </w:r>
      <w:r>
        <w:t xml:space="preserve">Sea Freight Emission Factor = 0.016 kg CO2e/tkm (DEFRA 2025 for container ships)</w:t>
      </w:r>
      <w:r>
        <w:br/>
      </w:r>
      <w:r>
        <w:t xml:space="preserve">Illustrative Inbound Transport Emissions = 0.1 tonne * 5000 km * 0.016 kg CO2e/tkm = 8.0 kg CO2e/unit (approx.)</w:t>
      </w:r>
    </w:p>
    <w:p>
      <w:pPr>
        <w:numPr>
          <w:ilvl w:val="1"/>
          <w:numId w:val="1010"/>
        </w:numPr>
      </w:pPr>
      <w:r>
        <w:rPr>
          <w:bCs/>
          <w:b/>
        </w:rPr>
        <w:t xml:space="preserve">Downstream Emissions (Category 9: Downstream Transportation and Distribution):</w:t>
      </w:r>
    </w:p>
    <w:p>
      <w:pPr>
        <w:numPr>
          <w:ilvl w:val="1"/>
          <w:numId w:val="1000"/>
        </w:numPr>
      </w:pPr>
      <w:r>
        <w:t xml:space="preserve">Emissions from the transport of the finished product from the factory to the end-customer, including</w:t>
      </w:r>
      <w:r>
        <w:t xml:space="preserve"> </w:t>
      </w:r>
      <w:r>
        <w:rPr>
          <w:rStyle w:val="VerbatimChar"/>
        </w:rPr>
        <w:t xml:space="preserve">Select Mode</w:t>
      </w:r>
      <w:r>
        <w:t xml:space="preserve"> </w:t>
      </w:r>
      <w:r>
        <w:t xml:space="preserve">transport over</w:t>
      </w:r>
      <w:r>
        <w:t xml:space="preserve"> </w:t>
      </w:r>
      <w:r>
        <w:rPr>
          <w:rStyle w:val="VerbatimChar"/>
        </w:rPr>
        <w:t xml:space="preserve">olgeroozgu</w:t>
      </w:r>
      <w:r>
        <w:t xml:space="preserve"> </w:t>
      </w:r>
      <w:r>
        <w:t xml:space="preserve">km and</w:t>
      </w:r>
      <w:r>
        <w:t xml:space="preserve"> </w:t>
      </w:r>
      <w:r>
        <w:rPr>
          <w:rStyle w:val="VerbatimChar"/>
        </w:rPr>
        <w:t xml:space="preserve">Delivery Type</w:t>
      </w:r>
      <w:r>
        <w:t xml:space="preserve"> </w:t>
      </w:r>
      <w:r>
        <w:t xml:space="preserve">for last-mile delivery.</w:t>
      </w:r>
    </w:p>
    <w:p>
      <w:pPr>
        <w:numPr>
          <w:ilvl w:val="1"/>
          <w:numId w:val="1000"/>
        </w:numPr>
      </w:pPr>
      <w:r>
        <w:rPr>
          <w:iCs/>
          <w:i/>
        </w:rPr>
        <w:t xml:space="preserve">Illustrative Calculation (e.g., for 2 kg product over 1000 km by road, plus last-mile):</w:t>
      </w:r>
      <w:r>
        <w:br/>
      </w:r>
      <w:r>
        <w:t xml:space="preserve">Road Freight Emission Factor = 0.21 kg CO2e / (1000 km * 2 kg package) = 0.105 kg CO2e/tkm (derived from 2kg package over 1000km)</w:t>
      </w:r>
      <w:r>
        <w:br/>
      </w:r>
      <w:r>
        <w:t xml:space="preserve">Illustrative Outbound Transport Emissions = 0.002 tonne * 1000 km * 0.105 kg CO2e/tkm + Last-Mile (e.g., 0.5 kg CO2e) = 0.21 + 0.5 = 0.71 kg CO2e/unit (approx.)</w:t>
      </w:r>
    </w:p>
    <w:p>
      <w:pPr>
        <w:numPr>
          <w:ilvl w:val="1"/>
          <w:numId w:val="1010"/>
        </w:numPr>
      </w:pPr>
      <w:r>
        <w:rPr>
          <w:bCs/>
          <w:b/>
        </w:rPr>
        <w:t xml:space="preserve">Downstream Emissions (Category 11: Use of Sold Products):</w:t>
      </w:r>
    </w:p>
    <w:p>
      <w:pPr>
        <w:numPr>
          <w:ilvl w:val="1"/>
          <w:numId w:val="1000"/>
        </w:numPr>
      </w:pPr>
      <w:r>
        <w:t xml:space="preserve">Emissions associated with the product\'s use phase, calculated using the provided product lifespan (</w:t>
      </w:r>
      <w:r>
        <w:rPr>
          <w:rStyle w:val="VerbatimChar"/>
        </w:rPr>
        <w:t xml:space="preserve">otjvlgrjfz</w:t>
      </w:r>
      <w:r>
        <w:t xml:space="preserve">) and energy consumption in use (</w:t>
      </w:r>
      <w:r>
        <w:rPr>
          <w:rStyle w:val="VerbatimChar"/>
        </w:rPr>
        <w:t xml:space="preserve">kygqenpung</w:t>
      </w:r>
      <w:r>
        <w:t xml:space="preserve">).</w:t>
      </w:r>
    </w:p>
    <w:p>
      <w:pPr>
        <w:numPr>
          <w:ilvl w:val="1"/>
          <w:numId w:val="1000"/>
        </w:numPr>
      </w:pPr>
      <w:r>
        <w:rPr>
          <w:iCs/>
          <w:i/>
        </w:rPr>
        <w:t xml:space="preserve">Illustrative Calculation:</w:t>
      </w:r>
      <w:r>
        <w:br/>
      </w:r>
      <w:r>
        <w:t xml:space="preserve">Product Lifespan = 5 years (illustrative for</w:t>
      </w:r>
      <w:r>
        <w:t xml:space="preserve"> </w:t>
      </w:r>
      <w:r>
        <w:rPr>
          <w:rStyle w:val="VerbatimChar"/>
        </w:rPr>
        <w:t xml:space="preserve">otjvlgrjfz</w:t>
      </w:r>
      <w:r>
        <w:t xml:space="preserve">)</w:t>
      </w:r>
      <w:r>
        <w:br/>
      </w:r>
      <w:r>
        <w:t xml:space="preserve">Energy Consumption in Use = 10 kWh/year (illustrative for</w:t>
      </w:r>
      <w:r>
        <w:t xml:space="preserve"> </w:t>
      </w:r>
      <w:r>
        <w:rPr>
          <w:rStyle w:val="VerbatimChar"/>
        </w:rPr>
        <w:t xml:space="preserve">kygqenpung</w:t>
      </w:r>
      <w:r>
        <w:t xml:space="preserve">)</w:t>
      </w:r>
      <w:r>
        <w:br/>
      </w:r>
      <w:r>
        <w:t xml:space="preserve">Electricity Grid EF for Use Phase (e.g., average consumer grid mix) = 0.4 kg CO2e/kWh (a general average EF for consumption)</w:t>
      </w:r>
      <w:r>
        <w:br/>
      </w:r>
      <w:r>
        <w:t xml:space="preserve">Use Phase Emissions = 5 years * 10 kWh/year * 0.4 kg CO2e/kWh = 20.0 kg CO2e/unit</w:t>
      </w:r>
    </w:p>
    <w:p>
      <w:pPr>
        <w:numPr>
          <w:ilvl w:val="1"/>
          <w:numId w:val="1010"/>
        </w:numPr>
      </w:pPr>
      <w:r>
        <w:rPr>
          <w:bCs/>
          <w:b/>
        </w:rPr>
        <w:t xml:space="preserve">Downstream Emissions (Category 12: End-of-Life Treatment of Sold Products):</w:t>
      </w:r>
    </w:p>
    <w:p>
      <w:pPr>
        <w:numPr>
          <w:ilvl w:val="1"/>
          <w:numId w:val="1000"/>
        </w:numPr>
      </w:pPr>
      <w:r>
        <w:t xml:space="preserve">Emissions or avoided emissions from end-of-life scenarios, considering the recyclability percentage (</w:t>
      </w:r>
      <w:r>
        <w:rPr>
          <w:rStyle w:val="VerbatimChar"/>
        </w:rPr>
        <w:t xml:space="preserve">xsxjggdrkz</w:t>
      </w:r>
      <w:r>
        <w:t xml:space="preserve">) and the impact of circular/take-back programs (</w:t>
      </w:r>
      <w:r>
        <w:rPr>
          <w:rStyle w:val="VerbatimChar"/>
        </w:rPr>
        <w:t xml:space="preserve">yekorhuiqp</w:t>
      </w:r>
      <w:r>
        <w:t xml:space="preserve">).</w:t>
      </w:r>
    </w:p>
    <w:p>
      <w:pPr>
        <w:numPr>
          <w:ilvl w:val="1"/>
          <w:numId w:val="1000"/>
        </w:numPr>
      </w:pPr>
      <w:r>
        <w:rPr>
          <w:iCs/>
          <w:i/>
        </w:rPr>
        <w:t xml:space="preserve">Illustrative Calculation (e.g., 80% recyclable, 2 kg product; recycling avoids 50% of virgin material emissions, 20% landfilled):</w:t>
      </w:r>
      <w:r>
        <w:br/>
      </w:r>
      <w:r>
        <w:t xml:space="preserve">Avoided Emissions from Recycling (e.g., 80% of 2 kg materials, avoiding 50% of material impact with an average EF of 3 kgCO2e/kg) = - (0.8 * 2 kg * 0.5 * 3 kgCO2e/kg avg material) = -2.4 kg CO2e</w:t>
      </w:r>
      <w:r>
        <w:br/>
      </w:r>
      <w:r>
        <w:t xml:space="preserve">Landfill Emissions (e.g., 20% of 2 kg materials, landfill EF 1 kgCO2e/kg) = 0.2 * 2 kg * 1 kgCO2e/kg = 0.4 kg CO2e</w:t>
      </w:r>
      <w:r>
        <w:br/>
      </w:r>
      <w:r>
        <w:t xml:space="preserve">Net EoL Emissions = 0.4 - 2.4 = -2.0 kg CO2e/unit (Potential credit for high recyclability)</w:t>
      </w:r>
    </w:p>
    <w:bookmarkEnd w:id="39"/>
    <w:bookmarkStart w:id="40" w:name="X7ef73fe3d39a8d84fae696b42f814aa0d860ec0"/>
    <w:p>
      <w:pPr>
        <w:pStyle w:val="Heading3"/>
      </w:pPr>
      <w:r>
        <w:t xml:space="preserve">4.2. 2026 LSR Update (Land Sector and Removals Standard)</w:t>
      </w:r>
    </w:p>
    <w:p>
      <w:pPr>
        <w:pStyle w:val="FirstParagraph"/>
      </w:pPr>
      <w:r>
        <w:t xml:space="preserve">The 2026 Land Sector and Removals (LSR) Standard, released on January 30, 2026, is applied to account for land use-related greenhouse gas fluxes and carbon removals associated with the product\'s value chain. This standard provides accounting requirements for land management, land use change, CO2 removals with storage in land and geologic carbon pools, and emissions from biogenic products. It became effective on January 1, 2027, for companies reporting under the GHG Protocol Corporate Standard and Scope 3 Standard. While specific data for land use change and carbon sequestration directly linked to mfrytwiouh\'s materials or processes is not provided in the parameters, the methodology acknowledges that any such impacts (e.g., from bio-based materials, forest management) would be quantified and reported under this standard. The accompanying guidance, including examples and calculation methods, is expected to be published in Q2 2026.</w:t>
      </w:r>
    </w:p>
    <w:bookmarkEnd w:id="40"/>
    <w:bookmarkStart w:id="41" w:name="Xdb677632fe17dc1e0f79dc3fa0e76233de996b4"/>
    <w:p>
      <w:pPr>
        <w:pStyle w:val="Heading3"/>
      </w:pPr>
      <w:r>
        <w:t xml:space="preserve">4.3. Illustrative Total Product Carbon Footprint (PCF) for mfrytwiouh</w:t>
      </w:r>
    </w:p>
    <w:p>
      <w:pPr>
        <w:pStyle w:val="FirstParagraph"/>
      </w:pPr>
      <w:r>
        <w:rPr>
          <w:iCs/>
          <w:i/>
        </w:rPr>
        <w:t xml:space="preserve">Note: These figures are illustrative based on the dummy calculations above and placeholder parameter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Illustrative Emissions (kg CO2e per functional unit)</w:t>
            </w:r>
          </w:p>
        </w:tc>
        <w:tc>
          <w:tcPr/>
          <w:p>
            <w:pPr>
              <w:pStyle w:val="Compact"/>
              <w:jc w:val="left"/>
            </w:pPr>
            <w:r>
              <w:t xml:space="preserve">Category</w:t>
            </w:r>
          </w:p>
        </w:tc>
      </w:tr>
      <w:tr>
        <w:tc>
          <w:tcPr/>
          <w:p>
            <w:pPr>
              <w:pStyle w:val="Compact"/>
              <w:jc w:val="left"/>
            </w:pPr>
            <w:r>
              <w:rPr>
                <w:bCs/>
                <w:b/>
              </w:rPr>
              <w:t xml:space="preserve">Scope 1 (Direct Manufacturing Emissions)</w:t>
            </w:r>
          </w:p>
        </w:tc>
        <w:tc>
          <w:tcPr/>
          <w:p>
            <w:pPr>
              <w:pStyle w:val="Compact"/>
              <w:jc w:val="left"/>
            </w:pPr>
            <w:r>
              <w:t xml:space="preserve">0.0</w:t>
            </w:r>
          </w:p>
        </w:tc>
        <w:tc>
          <w:tcPr/>
          <w:p>
            <w:pPr>
              <w:pStyle w:val="Compact"/>
              <w:jc w:val="left"/>
            </w:pPr>
            <w:r>
              <w:t xml:space="preserve">Direct from factory (assumed negligible for this product)</w:t>
            </w:r>
          </w:p>
        </w:tc>
      </w:tr>
      <w:tr>
        <w:tc>
          <w:tcPr/>
          <w:p>
            <w:pPr>
              <w:pStyle w:val="Compact"/>
              <w:jc w:val="left"/>
            </w:pPr>
            <w:r>
              <w:rPr>
                <w:bCs/>
                <w:b/>
              </w:rPr>
              <w:t xml:space="preserve">Scope 2 (Purchased Electricity for Manufacturing)</w:t>
            </w:r>
          </w:p>
        </w:tc>
        <w:tc>
          <w:tcPr/>
          <w:p>
            <w:pPr>
              <w:pStyle w:val="Compact"/>
              <w:jc w:val="left"/>
            </w:pPr>
            <w:r>
              <w:t xml:space="preserve">3.46</w:t>
            </w:r>
          </w:p>
        </w:tc>
        <w:tc>
          <w:tcPr/>
          <w:p>
            <w:pPr>
              <w:pStyle w:val="Compact"/>
              <w:jc w:val="left"/>
            </w:pPr>
            <w:r>
              <w:t xml:space="preserve">From grid electricity consumed at factory</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Raw Materials &amp; Pre-processing</w:t>
            </w:r>
          </w:p>
        </w:tc>
        <w:tc>
          <w:tcPr/>
          <w:p>
            <w:pPr>
              <w:pStyle w:val="Compact"/>
              <w:jc w:val="left"/>
            </w:pPr>
            <w:r>
              <w:t xml:space="preserve">18.6</w:t>
            </w:r>
          </w:p>
        </w:tc>
        <w:tc>
          <w:tcPr/>
          <w:p>
            <w:pPr>
              <w:pStyle w:val="Compact"/>
              <w:jc w:val="left"/>
            </w:pPr>
            <w:r>
              <w:t xml:space="preserve">Category 1: Purchased Goods and Services</w:t>
            </w:r>
          </w:p>
        </w:tc>
      </w:tr>
      <w:tr>
        <w:tc>
          <w:tcPr/>
          <w:p>
            <w:pPr>
              <w:pStyle w:val="Compact"/>
              <w:jc w:val="left"/>
            </w:pPr>
            <w:r>
              <w:t xml:space="preserve">   Upstream Transportation</w:t>
            </w:r>
          </w:p>
        </w:tc>
        <w:tc>
          <w:tcPr/>
          <w:p>
            <w:pPr>
              <w:pStyle w:val="Compact"/>
              <w:jc w:val="left"/>
            </w:pPr>
            <w:r>
              <w:t xml:space="preserve">8.0</w:t>
            </w:r>
          </w:p>
        </w:tc>
        <w:tc>
          <w:tcPr/>
          <w:p>
            <w:pPr>
              <w:pStyle w:val="Compact"/>
              <w:jc w:val="left"/>
            </w:pPr>
            <w:r>
              <w:t xml:space="preserve">Category 4: Upstream Transportation and Distribution</w:t>
            </w:r>
          </w:p>
        </w:tc>
      </w:tr>
      <w:tr>
        <w:tc>
          <w:tcPr/>
          <w:p>
            <w:pPr>
              <w:pStyle w:val="Compact"/>
              <w:jc w:val="left"/>
            </w:pPr>
            <w:r>
              <w:t xml:space="preserve">   Downstream Transportation</w:t>
            </w:r>
          </w:p>
        </w:tc>
        <w:tc>
          <w:tcPr/>
          <w:p>
            <w:pPr>
              <w:pStyle w:val="Compact"/>
              <w:jc w:val="left"/>
            </w:pPr>
            <w:r>
              <w:t xml:space="preserve">0.71</w:t>
            </w:r>
          </w:p>
        </w:tc>
        <w:tc>
          <w:tcPr/>
          <w:p>
            <w:pPr>
              <w:pStyle w:val="Compact"/>
              <w:jc w:val="left"/>
            </w:pPr>
            <w:r>
              <w:t xml:space="preserve">Category 9: Downstream Transportation and Distribution</w:t>
            </w:r>
          </w:p>
        </w:tc>
      </w:tr>
      <w:tr>
        <w:tc>
          <w:tcPr/>
          <w:p>
            <w:pPr>
              <w:pStyle w:val="Compact"/>
              <w:jc w:val="left"/>
            </w:pPr>
            <w:r>
              <w:t xml:space="preserve">   Use Phase</w:t>
            </w:r>
          </w:p>
        </w:tc>
        <w:tc>
          <w:tcPr/>
          <w:p>
            <w:pPr>
              <w:pStyle w:val="Compact"/>
              <w:jc w:val="left"/>
            </w:pPr>
            <w:r>
              <w:t xml:space="preserve">20.0</w:t>
            </w:r>
          </w:p>
        </w:tc>
        <w:tc>
          <w:tcPr/>
          <w:p>
            <w:pPr>
              <w:pStyle w:val="Compact"/>
              <w:jc w:val="left"/>
            </w:pPr>
            <w:r>
              <w:t xml:space="preserve">Category 11: Use of Sold Products</w:t>
            </w:r>
          </w:p>
        </w:tc>
      </w:tr>
      <w:tr>
        <w:tc>
          <w:tcPr/>
          <w:p>
            <w:pPr>
              <w:pStyle w:val="Compact"/>
              <w:jc w:val="left"/>
            </w:pPr>
            <w:r>
              <w:t xml:space="preserve">   End-of-Life Treatment</w:t>
            </w:r>
          </w:p>
        </w:tc>
        <w:tc>
          <w:tcPr/>
          <w:p>
            <w:pPr>
              <w:pStyle w:val="Compact"/>
              <w:jc w:val="left"/>
            </w:pPr>
            <w:r>
              <w:t xml:space="preserve">-2.0</w:t>
            </w:r>
          </w:p>
        </w:tc>
        <w:tc>
          <w:tcPr/>
          <w:p>
            <w:pPr>
              <w:pStyle w:val="Compact"/>
              <w:jc w:val="left"/>
            </w:pPr>
            <w:r>
              <w:t xml:space="preserve">Category 12: End-of-Life Treatment of Sold Products (credit due to high recyclability)</w:t>
            </w:r>
          </w:p>
        </w:tc>
      </w:tr>
      <w:tr>
        <w:tc>
          <w:tcPr/>
          <w:p>
            <w:pPr>
              <w:pStyle w:val="Compact"/>
              <w:jc w:val="left"/>
            </w:pPr>
            <w:r>
              <w:t xml:space="preserve">TOTAL PRODUCT CARBON FOOTPRINT</w:t>
            </w:r>
          </w:p>
        </w:tc>
        <w:tc>
          <w:tcPr/>
          <w:p>
            <w:pPr>
              <w:pStyle w:val="Compact"/>
              <w:jc w:val="left"/>
            </w:pPr>
            <w:r>
              <w:t xml:space="preserve">48.77</w:t>
            </w:r>
          </w:p>
        </w:tc>
        <w:tc>
          <w:tcPr/>
          <w:p>
            <w:pPr>
              <w:pStyle w:val="Compact"/>
            </w:pPr>
          </w:p>
        </w:tc>
      </w:tr>
    </w:tbl>
    <w:bookmarkEnd w:id="41"/>
    <w:bookmarkEnd w:id="42"/>
    <w:p>
      <w:r>
        <w:pict>
          <v:rect style="width:0;height:1.5pt" o:hralign="center" o:hrstd="t" o:hr="t"/>
        </w:pict>
      </w:r>
    </w:p>
    <w:bookmarkStart w:id="46" w:name="review-report"/>
    <w:p>
      <w:pPr>
        <w:pStyle w:val="Heading2"/>
      </w:pPr>
      <w:r>
        <w:t xml:space="preserve">5. Review &amp; Report</w:t>
      </w:r>
    </w:p>
    <w:p>
      <w:pPr>
        <w:pStyle w:val="FirstParagraph"/>
      </w:pPr>
      <w:r>
        <w:t xml:space="preserve">This final stage involves reviewing the calculated emissions, identifying hotspots, assessing data reliability, and providing actionable insights.</w:t>
      </w:r>
    </w:p>
    <w:bookmarkStart w:id="43" w:name="hotspot-identification"/>
    <w:p>
      <w:pPr>
        <w:pStyle w:val="Heading3"/>
      </w:pPr>
      <w:r>
        <w:t xml:space="preserve">5.1. Hotspot Identification</w:t>
      </w:r>
    </w:p>
    <w:p>
      <w:pPr>
        <w:pStyle w:val="FirstParagraph"/>
      </w:pPr>
      <w:r>
        <w:t xml:space="preserve">Based on the illustrative calculations, key carbon hotspots for mfrytwiouh include:</w:t>
      </w:r>
    </w:p>
    <w:p>
      <w:pPr>
        <w:numPr>
          <w:ilvl w:val="0"/>
          <w:numId w:val="1011"/>
        </w:numPr>
        <w:pStyle w:val="Compact"/>
      </w:pPr>
      <w:r>
        <w:rPr>
          <w:bCs/>
          <w:b/>
        </w:rPr>
        <w:t xml:space="preserve">Raw Materials &amp; Pre-processing:</w:t>
      </w:r>
      <w:r>
        <w:t xml:space="preserve"> </w:t>
      </w:r>
      <w:r>
        <w:t xml:space="preserve">With an illustrative contribution of ~18.6 kg CO2e, the procurement and processing of materials, particularly those with high embodied carbon (e.g., aluminum, silicon), represent a significant hotspot. Optimizing material selection, increasing recycled content, and engaging with low-carbon suppliers are crucial.</w:t>
      </w:r>
    </w:p>
    <w:p>
      <w:pPr>
        <w:numPr>
          <w:ilvl w:val="0"/>
          <w:numId w:val="1011"/>
        </w:numPr>
        <w:pStyle w:val="Compact"/>
      </w:pPr>
      <w:r>
        <w:rPr>
          <w:bCs/>
          <w:b/>
        </w:rPr>
        <w:t xml:space="preserve">Use Phase:</w:t>
      </w:r>
      <w:r>
        <w:t xml:space="preserve"> </w:t>
      </w:r>
      <w:r>
        <w:t xml:space="preserve">The illustrative 20.0 kg CO2e from the use phase highlights the impact of product energy consumption over its lifespan. Strategies should focus on improving energy efficiency, promoting renewable energy use by consumers, and extending product durability.</w:t>
      </w:r>
    </w:p>
    <w:p>
      <w:pPr>
        <w:numPr>
          <w:ilvl w:val="0"/>
          <w:numId w:val="1011"/>
        </w:numPr>
        <w:pStyle w:val="Compact"/>
      </w:pPr>
      <w:r>
        <w:rPr>
          <w:bCs/>
          <w:b/>
        </w:rPr>
        <w:t xml:space="preserve">Upstream Transportation:</w:t>
      </w:r>
      <w:r>
        <w:t xml:space="preserve"> </w:t>
      </w:r>
      <w:r>
        <w:t xml:space="preserve">The illustrative 8.0 kg CO2e from upstream transportation indicates that the logistics of bringing raw materials from the Europe-focused supply chain to the China production facility contribute significantly. Optimizing transport modes and routes can reduce this.</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directly dependent on the quality and specificity of the input data.</w:t>
      </w:r>
    </w:p>
    <w:p>
      <w:pPr>
        <w:numPr>
          <w:ilvl w:val="0"/>
          <w:numId w:val="1012"/>
        </w:numPr>
        <w:pStyle w:val="Compact"/>
      </w:pPr>
      <w:r>
        <w:rPr>
          <w:bCs/>
          <w:b/>
        </w:rPr>
        <w:t xml:space="preserve">Primary Data:</w:t>
      </w:r>
      <w:r>
        <w:t xml:space="preserve"> </w:t>
      </w:r>
      <w:r>
        <w:t xml:space="preserve">The provision of specific parameters (BOM `dfzrjskl`, energy `wwppolgsur`, `efnmdguwhk`, transport `olgeroozgu`, `Select Mode`, `Delivery Type`, lifespan `otjvlgrjfz`, use energy `kygqenpung`, EoL `xsxjggdrkz`, `yekorhuiqp`) is critical. In this report, where these inputs were generic strings, illustrative numeric values were used, which introduces a degree of uncertainty compared to using actual, precise figures.</w:t>
      </w:r>
    </w:p>
    <w:p>
      <w:pPr>
        <w:numPr>
          <w:ilvl w:val="0"/>
          <w:numId w:val="1012"/>
        </w:numPr>
        <w:pStyle w:val="Compact"/>
      </w:pPr>
      <w:r>
        <w:rPr>
          <w:bCs/>
          <w:b/>
        </w:rPr>
        <w:t xml:space="preserve">Secondary Data:</w:t>
      </w:r>
      <w:r>
        <w:t xml:space="preserve"> </w:t>
      </w:r>
      <w:r>
        <w:t xml:space="preserve">Industry-standard emission factors from databases like Ecoinvent and DEFRA provide a robust basis for background processes. However, these are generic and may not perfectly reflect specific supplier processes or regional variations without more detailed primary data.</w:t>
      </w:r>
    </w:p>
    <w:p>
      <w:pPr>
        <w:numPr>
          <w:ilvl w:val="0"/>
          <w:numId w:val="1012"/>
        </w:numPr>
        <w:pStyle w:val="Compact"/>
      </w:pPr>
      <w:r>
        <w:rPr>
          <w:bCs/>
          <w:b/>
        </w:rPr>
        <w:t xml:space="preserve">System Boundary Assumptions:</w:t>
      </w:r>
      <w:r>
        <w:t xml:space="preserve"> </w:t>
      </w:r>
      <w:r>
        <w:t xml:space="preserve">While comprehensive, certain indirect impacts (e.g., capital goods, employee commuting) may be excluded if not material to the "factory_gate" boundary extended for Scope 3.</w:t>
      </w:r>
    </w:p>
    <w:p>
      <w:pPr>
        <w:numPr>
          <w:ilvl w:val="0"/>
          <w:numId w:val="1012"/>
        </w:numPr>
        <w:pStyle w:val="Compact"/>
      </w:pPr>
      <w:r>
        <w:rPr>
          <w:bCs/>
          <w:b/>
        </w:rPr>
        <w:t xml:space="preserve">LSR Standard:</w:t>
      </w:r>
      <w:r>
        <w:t xml:space="preserve"> </w:t>
      </w:r>
      <w:r>
        <w:t xml:space="preserve">While the 2026 LSR Standard is acknowledged, actual quantification of land sector emissions and removals would require specific data on land use change associated with raw material sourcing or product components, which was beyond the scope of the provided parameters.</w:t>
      </w:r>
    </w:p>
    <w:bookmarkEnd w:id="44"/>
    <w:bookmarkStart w:id="45" w:name="recommendations-for-xpehdumyrk"/>
    <w:p>
      <w:pPr>
        <w:pStyle w:val="Heading3"/>
      </w:pPr>
      <w:r>
        <w:t xml:space="preserve">5.3. Recommendations for xpehdumyrk</w:t>
      </w:r>
    </w:p>
    <w:p>
      <w:pPr>
        <w:numPr>
          <w:ilvl w:val="0"/>
          <w:numId w:val="1013"/>
        </w:numPr>
        <w:pStyle w:val="Compact"/>
      </w:pPr>
      <w:r>
        <w:rPr>
          <w:bCs/>
          <w:b/>
        </w:rPr>
        <w:t xml:space="preserve">Material Optimization:</w:t>
      </w:r>
      <w:r>
        <w:t xml:space="preserve"> </w:t>
      </w:r>
      <w:r>
        <w:t xml:space="preserve">Investigate opportunities to use lower-carbon alternative materials, increase recycled content, and engage with suppliers to understand and reduce their upstream emissions.</w:t>
      </w:r>
    </w:p>
    <w:p>
      <w:pPr>
        <w:numPr>
          <w:ilvl w:val="0"/>
          <w:numId w:val="1013"/>
        </w:numPr>
        <w:pStyle w:val="Compact"/>
      </w:pPr>
      <w:r>
        <w:rPr>
          <w:bCs/>
          <w:b/>
        </w:rPr>
        <w:t xml:space="preserve">Energy Efficiency &amp; Renewables:</w:t>
      </w:r>
      <w:r>
        <w:t xml:space="preserve"> </w:t>
      </w:r>
      <w:r>
        <w:t xml:space="preserve">Continuously improve energy efficiency in manufacturing processes and increase the share of renewable energy at the production facility.</w:t>
      </w:r>
    </w:p>
    <w:p>
      <w:pPr>
        <w:numPr>
          <w:ilvl w:val="0"/>
          <w:numId w:val="1013"/>
        </w:numPr>
        <w:pStyle w:val="Compact"/>
      </w:pPr>
      <w:r>
        <w:rPr>
          <w:bCs/>
          <w:b/>
        </w:rPr>
        <w:t xml:space="preserve">Product Design for Sustainability:</w:t>
      </w:r>
      <w:r>
        <w:t xml:space="preserve"> </w:t>
      </w:r>
      <w:r>
        <w:t xml:space="preserve">Design mfrytwiouh for enhanced energy efficiency during its use phase and for easier disassembly, repair, and recycling at end-of-life.</w:t>
      </w:r>
    </w:p>
    <w:p>
      <w:pPr>
        <w:numPr>
          <w:ilvl w:val="0"/>
          <w:numId w:val="1013"/>
        </w:numPr>
        <w:pStyle w:val="Compact"/>
      </w:pPr>
      <w:r>
        <w:rPr>
          <w:bCs/>
          <w:b/>
        </w:rPr>
        <w:t xml:space="preserve">Supply Chain Engagement:</w:t>
      </w:r>
      <w:r>
        <w:t xml:space="preserve"> </w:t>
      </w:r>
      <w:r>
        <w:t xml:space="preserve">Collaborate with key suppliers and logistics partners to gather more specific primary data and identify emission reduction opportunities throughout the supply chain.</w:t>
      </w:r>
    </w:p>
    <w:p>
      <w:pPr>
        <w:numPr>
          <w:ilvl w:val="0"/>
          <w:numId w:val="1013"/>
        </w:numPr>
        <w:pStyle w:val="Compact"/>
      </w:pPr>
      <w:r>
        <w:rPr>
          <w:bCs/>
          <w:b/>
        </w:rPr>
        <w:t xml:space="preserve">Circular Economy Initiatives:</w:t>
      </w:r>
      <w:r>
        <w:t xml:space="preserve"> </w:t>
      </w:r>
      <w:r>
        <w:t xml:space="preserve">Further develop and promote the</w:t>
      </w:r>
      <w:r>
        <w:t xml:space="preserve"> </w:t>
      </w:r>
      <w:r>
        <w:rPr>
          <w:rStyle w:val="VerbatimChar"/>
        </w:rPr>
        <w:t xml:space="preserve">yekorhuiqp</w:t>
      </w:r>
      <w:r>
        <w:t xml:space="preserve"> </w:t>
      </w:r>
      <w:r>
        <w:t xml:space="preserve">circular/take-back programs to maximize product lifespan, reuse, and high-value recycling, maximizing the avoided emissions at End-of-Life.</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mfrytwiouh</dc:title>
  <dc:creator/>
  <dc:description>Detailed Product Carbon Footprint (PCF) analysis for mfrytwiouh, conducted by Senior Sustainability Consultant pygwiezmlp using the GHG Protocol.</dc:description>
  <dc:language>en</dc:language>
  <cp:keywords/>
  <dcterms:created xsi:type="dcterms:W3CDTF">2026-07-15T05:06:39Z</dcterms:created>
  <dcterms:modified xsi:type="dcterms:W3CDTF">2026-07-15T05:06:39Z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