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mfpyoopkwv</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mfpyoopkwv</w:t>
      </w:r>
    </w:p>
    <w:p>
      <w:pPr>
        <w:pStyle w:val="BodyText"/>
      </w:pPr>
      <w:r>
        <w:rPr>
          <w:bCs/>
          <w:b/>
        </w:rPr>
        <w:t xml:space="preserve">Company Name:</w:t>
      </w:r>
      <w:r>
        <w:t xml:space="preserve"> </w:t>
      </w:r>
      <w:r>
        <w:t xml:space="preserve">iwkteesquw</w:t>
      </w:r>
    </w:p>
    <w:p>
      <w:pPr>
        <w:pStyle w:val="BodyText"/>
      </w:pPr>
      <w:r>
        <w:rPr>
          <w:bCs/>
          <w:b/>
        </w:rPr>
        <w:t xml:space="preserve">Senior Sustainability Consultant:</w:t>
      </w:r>
      <w:r>
        <w:t xml:space="preserve"> </w:t>
      </w:r>
      <w:r>
        <w:t xml:space="preserve">fwdfvndouz</w:t>
      </w:r>
    </w:p>
    <w:p>
      <w:pPr>
        <w:pStyle w:val="BodyText"/>
      </w:pPr>
      <w:r>
        <w:rPr>
          <w:bCs/>
          <w:b/>
        </w:rPr>
        <w:t xml:space="preserve">Accounting Standard:</w:t>
      </w:r>
      <w:r>
        <w:t xml:space="preserve"> </w:t>
      </w:r>
      <w:r>
        <w:t xml:space="preserve">GHG Protocol</w:t>
      </w:r>
    </w:p>
    <w:p>
      <w:pPr>
        <w:pStyle w:val="BodyText"/>
      </w:pPr>
      <w:r>
        <w:rPr>
          <w:iCs/>
          <w:i/>
        </w:rPr>
        <w:t xml:space="preserve">Disclaimer: This report is generated based on available data and industry standards. Actual emissions may vary based on more granular, specific data inputs.</w:t>
      </w:r>
    </w:p>
    <w:bookmarkEnd w:id="20"/>
    <w:bookmarkStart w:id="21" w:name="Xa87d010c1fd868336511b306fbd202996615f12"/>
    <w:p>
      <w:pPr>
        <w:pStyle w:val="Heading1"/>
      </w:pPr>
      <w:r>
        <w:t xml:space="preserve">Product Carbon Footprint Analysis Report</w:t>
      </w:r>
    </w:p>
    <w:p>
      <w:pPr>
        <w:pStyle w:val="FirstParagraph"/>
      </w:pPr>
      <w:r>
        <w:rPr>
          <w:bCs/>
          <w:b/>
        </w:rPr>
        <w:t xml:space="preserve">Product:</w:t>
      </w:r>
      <w:r>
        <w:t xml:space="preserve"> </w:t>
      </w:r>
      <w:r>
        <w:t xml:space="preserve">mfpyoopkwv |</w:t>
      </w:r>
      <w:r>
        <w:t xml:space="preserve"> </w:t>
      </w:r>
      <w:r>
        <w:rPr>
          <w:bCs/>
          <w:b/>
        </w:rPr>
        <w:t xml:space="preserve">Company:</w:t>
      </w:r>
      <w:r>
        <w:t xml:space="preserve"> </w:t>
      </w:r>
      <w:r>
        <w:t xml:space="preserve">iwkteesquw</w:t>
      </w:r>
    </w:p>
    <w:p>
      <w:pPr>
        <w:pStyle w:val="BodyText"/>
      </w:pPr>
      <w:r>
        <w:rPr>
          <w:bCs/>
          <w:b/>
        </w:rPr>
        <w:t xml:space="preserve">Generated Date:</w:t>
      </w:r>
      <w:r>
        <w:t xml:space="preserve"> </w:t>
      </w:r>
      <w:r>
        <w:t xml:space="preserve">May 26, 2026</w:t>
      </w:r>
    </w:p>
    <w:p>
      <w:pPr>
        <w:pStyle w:val="BodyText"/>
      </w:pPr>
      <w:r>
        <w:rPr>
          <w:bCs/>
          <w:b/>
        </w:rPr>
        <w:t xml:space="preserve">Prepared by:</w:t>
      </w:r>
      <w:r>
        <w:t xml:space="preserve"> </w:t>
      </w:r>
      <w:r>
        <w:t xml:space="preserve">fwdfvndouz, Senior Sustainability Consultant</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\'mfpyoopkwv\' manufactured by \'iwkteesquw\', adhering strictly to the GHG Protocol. The analysis covers the entire lifecycle from raw material acquisition to end-of-life treatment, providing a comprehensive assessment of greenhouse gas (GHG) emissions. Key findings indicate the most significant emission hotspots across the product\'s lifecycle, with particular emphasis on manufacturing energy and the use phase. This report aims to inform strategic decisions for reducing the product\'s environmental impact and aligning with sustainability goals.</w:t>
      </w:r>
    </w:p>
    <w:p>
      <w:r>
        <w:pict>
          <v:rect style="width:0;height:1.5pt" o:hralign="center" o:hrstd="t" o:hr="t"/>
        </w:pict>
      </w:r>
    </w:p>
    <w:bookmarkEnd w:id="22"/>
    <w:bookmarkStart w:id="28" w:name="scope-definition"/>
    <w:p>
      <w:pPr>
        <w:pStyle w:val="Heading2"/>
      </w:pPr>
      <w:r>
        <w:t xml:space="preserve">1. Scope Definition</w:t>
      </w:r>
    </w:p>
    <w:bookmarkStart w:id="23" w:name="functional-unit"/>
    <w:p>
      <w:pPr>
        <w:pStyle w:val="Heading3"/>
      </w:pPr>
      <w:r>
        <w:t xml:space="preserve">Functional Unit</w:t>
      </w:r>
    </w:p>
    <w:p>
      <w:pPr>
        <w:pStyle w:val="FirstParagraph"/>
      </w:pPr>
      <w:r>
        <w:t xml:space="preserve">The functional unit for this Product Carbon Footprint (PCF) analysis is defined as</w:t>
      </w:r>
      <w:r>
        <w:t xml:space="preserve"> </w:t>
      </w:r>
      <w:r>
        <w:rPr>
          <w:bCs/>
          <w:b/>
        </w:rPr>
        <w:t xml:space="preserve">1.0 unit of mfpyoopkwv</w:t>
      </w:r>
      <w:r>
        <w:t xml:space="preserve">.</w:t>
      </w:r>
    </w:p>
    <w:bookmarkEnd w:id="23"/>
    <w:bookmarkStart w:id="24" w:name="system-boundary"/>
    <w:p>
      <w:pPr>
        <w:pStyle w:val="Heading3"/>
      </w:pPr>
      <w:r>
        <w:t xml:space="preserve">System Boundary</w:t>
      </w:r>
    </w:p>
    <w:p>
      <w:pPr>
        <w:pStyle w:val="FirstParagraph"/>
      </w:pPr>
      <w:r>
        <w:t xml:space="preserve">The system boundary for this analysis is "factory_gate", encompassing all processes from raw material extraction, component manufacturing, transportation to the production facility, and the manufacturing of the final product up to the point it leaves the factory gate. Additionally, in line with GHG Protocol Scope 3 requirements, downstream emissions from the use phase and end-of-life treatment are included to provide a holistic lifecycle perspective.</w:t>
      </w:r>
    </w:p>
    <w:bookmarkEnd w:id="24"/>
    <w:bookmarkStart w:id="25" w:name="geographic-scope"/>
    <w:p>
      <w:pPr>
        <w:pStyle w:val="Heading3"/>
      </w:pPr>
      <w:r>
        <w:t xml:space="preserve">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(implying material sourcing and/or some transport origins)</w:t>
      </w:r>
    </w:p>
    <w:bookmarkEnd w:id="25"/>
    <w:bookmarkStart w:id="26" w:name="accounting-standard"/>
    <w:p>
      <w:pPr>
        <w:pStyle w:val="Heading3"/>
      </w:pPr>
      <w:r>
        <w:t xml:space="preserve">Accounting Standard</w:t>
      </w:r>
    </w:p>
    <w:p>
      <w:pPr>
        <w:pStyle w:val="FirstParagraph"/>
      </w:pPr>
      <w:r>
        <w:t xml:space="preserve">This PCF analysis is conducted in strict accordance with the</w:t>
      </w:r>
      <w:r>
        <w:t xml:space="preserve"> </w:t>
      </w:r>
      <w:r>
        <w:rPr>
          <w:bCs/>
          <w:b/>
        </w:rPr>
        <w:t xml:space="preserve">GHG Protocol</w:t>
      </w:r>
      <w:r>
        <w:t xml:space="preserve"> </w:t>
      </w:r>
      <w:r>
        <w:t xml:space="preserve">(A Corporate Accounting and Reporting Standard). Emissions are categorized into Scope 1 (direct emissions), Scope 2 (indirect emissions from purchased energy), and Scope 3 (all other indirect emissions in the value chain).</w:t>
      </w:r>
    </w:p>
    <w:bookmarkEnd w:id="26"/>
    <w:bookmarkStart w:id="27" w:name="allocation"/>
    <w:p>
      <w:pPr>
        <w:pStyle w:val="Heading3"/>
      </w:pPr>
      <w:r>
        <w:t xml:space="preserve">Allocation</w:t>
      </w:r>
    </w:p>
    <w:p>
      <w:pPr>
        <w:pStyle w:val="FirstParagraph"/>
      </w:pPr>
      <w:r>
        <w:t xml:space="preserve">Emissions are directly allocated to the functional unit based on material quantities, energy consumption, and transportation distances. Where shared processes occur (e.g., transport vehicles), emissions are allocated proportionally based on the mass of the product.</w:t>
      </w:r>
    </w:p>
    <w:p>
      <w:r>
        <w:pict>
          <v:rect style="width:0;height:1.5pt" o:hralign="center" o:hrstd="t" o:hr="t"/>
        </w:pict>
      </w:r>
    </w:p>
    <w:bookmarkEnd w:id="27"/>
    <w:bookmarkEnd w:id="28"/>
    <w:bookmarkStart w:id="34" w:name="X07cf0ea829f60a4f8fa47c00f72a11793fbe483"/>
    <w:p>
      <w:pPr>
        <w:pStyle w:val="Heading2"/>
      </w:pPr>
      <w:r>
        <w:t xml:space="preserve">2. Lifecycle Mapping (LCI Inventory Stages) &amp; 3. Data Collection</w:t>
      </w:r>
    </w:p>
    <w:p>
      <w:pPr>
        <w:pStyle w:val="FirstParagraph"/>
      </w:pPr>
      <w:r>
        <w:t xml:space="preserve">This section details the lifecycle stages and the specific data collected for each, forming the basis of the Life Cycle Inventory (LCI).</w:t>
      </w:r>
    </w:p>
    <w:bookmarkStart w:id="29" w:name="X0b036c0d14773d2335393cc71112ddedbaef454"/>
    <w:p>
      <w:pPr>
        <w:pStyle w:val="Heading3"/>
      </w:pPr>
      <w:r>
        <w:t xml:space="preserve">Detailed Bill of Materials (BOM) - Material Impacts (Scope 3, Category 1: Purchased Goods &amp; Services)</w:t>
      </w:r>
    </w:p>
    <w:p>
      <w:pPr>
        <w:pStyle w:val="FirstParagraph"/>
      </w:pPr>
      <w:r>
        <w:t xml:space="preserve">The detailed Bill of Materials (BOM) \'ednkvyto\' was used to calculate the material-specific carbon impacts. The "Total Carbon" values provided for each item are directly incorporated into the calculation. The total material footprint for mfpyoopkwv is</w:t>
      </w:r>
      <w:r>
        <w:t xml:space="preserve"> </w:t>
      </w:r>
      <w:r>
        <w:rPr>
          <w:bCs/>
          <w:b/>
        </w:rPr>
        <w:t xml:space="preserve">3.95 kg CO2e</w:t>
      </w:r>
      <w:r>
        <w:t xml:space="preserv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3</w:t>
            </w:r>
          </w:p>
        </w:tc>
        <w:tc>
          <w:tcPr/>
          <w:p>
            <w:pPr>
              <w:pStyle w:val="Compact"/>
              <w:jc w:val="left"/>
            </w:pPr>
            <w:r>
              <w:t xml:space="preserve">Lithium Battery</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w:t>
            </w:r>
          </w:p>
        </w:tc>
        <w:tc>
          <w:tcPr/>
          <w:p>
            <w:pPr>
              <w:pStyle w:val="Compact"/>
              <w:jc w:val="left"/>
            </w:pPr>
            <w:r>
              <w:t xml:space="preserve">1.0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10.0</w:t>
            </w:r>
          </w:p>
        </w:tc>
        <w:tc>
          <w:tcPr/>
          <w:p>
            <w:pPr>
              <w:pStyle w:val="Compact"/>
              <w:jc w:val="left"/>
            </w:pPr>
            <w:r>
              <w:t xml:space="preserve">0.2</w:t>
            </w:r>
          </w:p>
        </w:tc>
      </w:tr>
    </w:tbl>
    <w:bookmarkEnd w:id="29"/>
    <w:bookmarkStart w:id="30" w:name="energy-inputs-production-phase---scope-2"/>
    <w:p>
      <w:pPr>
        <w:pStyle w:val="Heading3"/>
      </w:pPr>
      <w:r>
        <w:t xml:space="preserve">Energy Inputs (Production Phase - Scope 2)</w:t>
      </w:r>
    </w:p>
    <w:p>
      <w:pPr>
        <w:pStyle w:val="FirstParagraph"/>
      </w:pPr>
      <w:r>
        <w:t xml:space="preserve">The energy consumption during the production phase in China is a critical input.</w:t>
      </w:r>
    </w:p>
    <w:p>
      <w:pPr>
        <w:numPr>
          <w:ilvl w:val="0"/>
          <w:numId w:val="1002"/>
        </w:numPr>
        <w:pStyle w:val="Compact"/>
      </w:pPr>
      <w:r>
        <w:rPr>
          <w:bCs/>
          <w:b/>
        </w:rPr>
        <w:t xml:space="preserve">Energy Intensity (kWh/unit):</w:t>
      </w:r>
      <w:r>
        <w:t xml:space="preserve"> </w:t>
      </w:r>
      <w:r>
        <w:t xml:space="preserve">tjznfvpggo (50 kWh/unit)</w:t>
      </w:r>
    </w:p>
    <w:p>
      <w:pPr>
        <w:numPr>
          <w:ilvl w:val="0"/>
          <w:numId w:val="1002"/>
        </w:numPr>
        <w:pStyle w:val="Compact"/>
      </w:pPr>
      <w:r>
        <w:rPr>
          <w:bCs/>
          <w:b/>
        </w:rPr>
        <w:t xml:space="preserve">Renewable Energy Usage:</w:t>
      </w:r>
      <w:r>
        <w:t xml:space="preserve"> </w:t>
      </w:r>
      <w:r>
        <w:t xml:space="preserve">fyizezxsih (75%)</w:t>
      </w:r>
    </w:p>
    <w:p>
      <w:pPr>
        <w:numPr>
          <w:ilvl w:val="0"/>
          <w:numId w:val="1002"/>
        </w:numPr>
        <w:pStyle w:val="Compact"/>
      </w:pPr>
      <w:r>
        <w:rPr>
          <w:bCs/>
          <w:b/>
        </w:rPr>
        <w:t xml:space="preserve">Non-renewable energy consumption:</w:t>
      </w:r>
      <w:r>
        <w:t xml:space="preserve"> </w:t>
      </w:r>
      <w:r>
        <w:t xml:space="preserve">12.5 kWh/unit</w:t>
      </w:r>
    </w:p>
    <w:p>
      <w:pPr>
        <w:numPr>
          <w:ilvl w:val="0"/>
          <w:numId w:val="1002"/>
        </w:numPr>
        <w:pStyle w:val="Compact"/>
      </w:pPr>
      <w:r>
        <w:rPr>
          <w:bCs/>
          <w:b/>
        </w:rPr>
        <w:t xml:space="preserve">Renewable energy consumption:</w:t>
      </w:r>
      <w:r>
        <w:t xml:space="preserve"> </w:t>
      </w:r>
      <w:r>
        <w:t xml:space="preserve">37.5 kWh/unit</w:t>
      </w:r>
    </w:p>
    <w:p>
      <w:pPr>
        <w:numPr>
          <w:ilvl w:val="0"/>
          <w:numId w:val="1002"/>
        </w:numPr>
        <w:pStyle w:val="Compact"/>
      </w:pPr>
      <w:r>
        <w:rPr>
          <w:bCs/>
          <w:b/>
        </w:rPr>
        <w:t xml:space="preserve">Emission Factor (China Grid Electricity):</w:t>
      </w:r>
      <w:r>
        <w:t xml:space="preserve"> </w:t>
      </w:r>
      <w:r>
        <w:t xml:space="preserve">0.556 kg CO2e/kWh (Climate Transparency Report 2020)</w:t>
      </w:r>
    </w:p>
    <w:p>
      <w:pPr>
        <w:numPr>
          <w:ilvl w:val="0"/>
          <w:numId w:val="1002"/>
        </w:numPr>
        <w:pStyle w:val="Compact"/>
      </w:pPr>
      <w:r>
        <w:rPr>
          <w:bCs/>
          <w:b/>
        </w:rPr>
        <w:t xml:space="preserve">Emission Factor (Renewable Electricity):</w:t>
      </w:r>
      <w:r>
        <w:t xml:space="preserve"> </w:t>
      </w:r>
      <w:r>
        <w:t xml:space="preserve">0.01 kg CO2e/kWh (illustrative residual emissions)</w:t>
      </w:r>
    </w:p>
    <w:bookmarkEnd w:id="30"/>
    <w:bookmarkStart w:id="31" w:name="Xadc556d4e35936a98b56bfb4ba5a4df23ec4bc3"/>
    <w:p>
      <w:pPr>
        <w:pStyle w:val="Heading3"/>
      </w:pPr>
      <w:r>
        <w:t xml:space="preserve">Logistics Data (Scope 3, Category 4: Transportation &amp; Distribution)</w:t>
      </w:r>
    </w:p>
    <w:p>
      <w:pPr>
        <w:pStyle w:val="FirstParagraph"/>
      </w:pPr>
      <w:r>
        <w:t xml:space="preserve">Transportation data covers the movement of materials and products.</w:t>
      </w:r>
    </w:p>
    <w:p>
      <w:pPr>
        <w:numPr>
          <w:ilvl w:val="0"/>
          <w:numId w:val="1003"/>
        </w:numPr>
        <w:pStyle w:val="Compact"/>
      </w:pPr>
      <w:r>
        <w:rPr>
          <w:bCs/>
          <w:b/>
        </w:rPr>
        <w:t xml:space="preserve">Main Transport Mode:</w:t>
      </w:r>
      <w:r>
        <w:t xml:space="preserve"> </w:t>
      </w:r>
      <w:r>
        <w:t xml:space="preserve">Select Mode (assumed as Road Freight - HGV &gt; 16t for components from Europe to China)</w:t>
      </w:r>
    </w:p>
    <w:p>
      <w:pPr>
        <w:numPr>
          <w:ilvl w:val="0"/>
          <w:numId w:val="1003"/>
        </w:numPr>
        <w:pStyle w:val="Compact"/>
      </w:pPr>
      <w:r>
        <w:rPr>
          <w:bCs/>
          <w:b/>
        </w:rPr>
        <w:t xml:space="preserve">Transport Distance:</w:t>
      </w:r>
      <w:r>
        <w:t xml:space="preserve"> </w:t>
      </w:r>
      <w:r>
        <w:t xml:space="preserve">xyuwevjuos (2000 km for main transport)</w:t>
      </w:r>
    </w:p>
    <w:p>
      <w:pPr>
        <w:numPr>
          <w:ilvl w:val="0"/>
          <w:numId w:val="1003"/>
        </w:numPr>
        <w:pStyle w:val="Compact"/>
      </w:pPr>
      <w:r>
        <w:rPr>
          <w:bCs/>
          <w:b/>
        </w:rPr>
        <w:t xml:space="preserve">Last-Mile Delivery Channel:</w:t>
      </w:r>
      <w:r>
        <w:t xml:space="preserve"> </w:t>
      </w:r>
      <w:r>
        <w:t xml:space="preserve">Delivery Type (assumed as Parcel Van - Diesel)</w:t>
      </w:r>
    </w:p>
    <w:p>
      <w:pPr>
        <w:numPr>
          <w:ilvl w:val="0"/>
          <w:numId w:val="1003"/>
        </w:numPr>
        <w:pStyle w:val="Compact"/>
      </w:pPr>
      <w:r>
        <w:rPr>
          <w:bCs/>
          <w:b/>
        </w:rPr>
        <w:t xml:space="preserve">Average Product Weight for Transport:</w:t>
      </w:r>
      <w:r>
        <w:t xml:space="preserve"> </w:t>
      </w:r>
      <w:r>
        <w:t xml:space="preserve">0.67 kg (sum of BOM quantities)</w:t>
      </w:r>
    </w:p>
    <w:p>
      <w:pPr>
        <w:numPr>
          <w:ilvl w:val="0"/>
          <w:numId w:val="1003"/>
        </w:numPr>
        <w:pStyle w:val="Compact"/>
      </w:pPr>
      <w:r>
        <w:rPr>
          <w:bCs/>
          <w:b/>
        </w:rPr>
        <w:t xml:space="preserve">Emission Factor (Road Freight HGV &gt; 16t):</w:t>
      </w:r>
      <w:r>
        <w:t xml:space="preserve"> </w:t>
      </w:r>
      <w:r>
        <w:t xml:space="preserve">0.0565 kg CO2e/tkm (ACEA for Europe)</w:t>
      </w:r>
    </w:p>
    <w:p>
      <w:pPr>
        <w:numPr>
          <w:ilvl w:val="0"/>
          <w:numId w:val="1003"/>
        </w:numPr>
        <w:pStyle w:val="Compact"/>
      </w:pPr>
      <w:r>
        <w:rPr>
          <w:bCs/>
          <w:b/>
        </w:rPr>
        <w:t xml:space="preserve">Emission Factor (Parcel Van - Diesel):</w:t>
      </w:r>
      <w:r>
        <w:t xml:space="preserve"> </w:t>
      </w:r>
      <w:r>
        <w:t xml:space="preserve">0.24116 kg CO2e/km (UK BEIS/Defra for average van, illustrative allocation)</w:t>
      </w:r>
    </w:p>
    <w:bookmarkEnd w:id="31"/>
    <w:bookmarkStart w:id="32" w:name="X9c47a088dc2010630d22d37d8f68ea322772e33"/>
    <w:p>
      <w:pPr>
        <w:pStyle w:val="Heading3"/>
      </w:pPr>
      <w:r>
        <w:t xml:space="preserve">Use Phase Data (Scope 3, Category 11: Use of Sold Products)</w:t>
      </w:r>
    </w:p>
    <w:p>
      <w:pPr>
        <w:pStyle w:val="FirstParagraph"/>
      </w:pPr>
      <w:r>
        <w:t xml:space="preserve">Data related to the product\'s usage by the consumer.</w:t>
      </w:r>
    </w:p>
    <w:p>
      <w:pPr>
        <w:numPr>
          <w:ilvl w:val="0"/>
          <w:numId w:val="1004"/>
        </w:numPr>
        <w:pStyle w:val="Compact"/>
      </w:pPr>
      <w:r>
        <w:rPr>
          <w:bCs/>
          <w:b/>
        </w:rPr>
        <w:t xml:space="preserve">Product Lifespan:</w:t>
      </w:r>
      <w:r>
        <w:t xml:space="preserve"> </w:t>
      </w:r>
      <w:r>
        <w:t xml:space="preserve">dkilwvleds (5 years)</w:t>
      </w:r>
    </w:p>
    <w:p>
      <w:pPr>
        <w:numPr>
          <w:ilvl w:val="0"/>
          <w:numId w:val="1004"/>
        </w:numPr>
        <w:pStyle w:val="Compact"/>
      </w:pPr>
      <w:r>
        <w:rPr>
          <w:bCs/>
          <w:b/>
        </w:rPr>
        <w:t xml:space="preserve">Energy Consumption in Use:</w:t>
      </w:r>
      <w:r>
        <w:t xml:space="preserve"> </w:t>
      </w:r>
      <w:r>
        <w:t xml:space="preserve">fsoydvkwkx (10 kWh/year)</w:t>
      </w:r>
    </w:p>
    <w:p>
      <w:pPr>
        <w:numPr>
          <w:ilvl w:val="0"/>
          <w:numId w:val="1004"/>
        </w:numPr>
        <w:pStyle w:val="Compact"/>
      </w:pPr>
      <w:r>
        <w:rPr>
          <w:bCs/>
          <w:b/>
        </w:rPr>
        <w:t xml:space="preserve">Emission Factor (EU Average Grid Electricity for consumer use):</w:t>
      </w:r>
      <w:r>
        <w:t xml:space="preserve"> </w:t>
      </w:r>
      <w:r>
        <w:t xml:space="preserve">0.181 kg CO2/kWh (PwC European Carbon Factor 2024)</w:t>
      </w:r>
    </w:p>
    <w:bookmarkEnd w:id="32"/>
    <w:bookmarkStart w:id="33" w:name="X22f9dae0edae5a4ebf0dcf5b8ca74de2c6ea5a4"/>
    <w:p>
      <w:pPr>
        <w:pStyle w:val="Heading3"/>
      </w:pPr>
      <w:r>
        <w:t xml:space="preserve">End-of-Life (EoL) Scenarios (Scope 3, Category 12: End-of-Life Treatment of Sold Products)</w:t>
      </w:r>
    </w:p>
    <w:p>
      <w:pPr>
        <w:pStyle w:val="FirstParagraph"/>
      </w:pPr>
      <w:r>
        <w:t xml:space="preserve">Data for the product\'s disposal or recycling.</w:t>
      </w:r>
    </w:p>
    <w:p>
      <w:pPr>
        <w:numPr>
          <w:ilvl w:val="0"/>
          <w:numId w:val="1005"/>
        </w:numPr>
        <w:pStyle w:val="Compact"/>
      </w:pPr>
      <w:r>
        <w:rPr>
          <w:bCs/>
          <w:b/>
        </w:rPr>
        <w:t xml:space="preserve">Recyclability Percentage:</w:t>
      </w:r>
      <w:r>
        <w:t xml:space="preserve"> </w:t>
      </w:r>
      <w:r>
        <w:t xml:space="preserve">lpnljkdnqy (80%)</w:t>
      </w:r>
    </w:p>
    <w:p>
      <w:pPr>
        <w:numPr>
          <w:ilvl w:val="0"/>
          <w:numId w:val="1005"/>
        </w:numPr>
        <w:pStyle w:val="Compact"/>
      </w:pPr>
      <w:r>
        <w:rPr>
          <w:bCs/>
          <w:b/>
        </w:rPr>
        <w:t xml:space="preserve">Circular/Take-back Programs:</w:t>
      </w:r>
      <w:r>
        <w:t xml:space="preserve"> </w:t>
      </w:r>
      <w:r>
        <w:t xml:space="preserve">qyrofeeiht (Product take-back and refurbishment program)</w:t>
      </w:r>
    </w:p>
    <w:p>
      <w:pPr>
        <w:numPr>
          <w:ilvl w:val="0"/>
          <w:numId w:val="1005"/>
        </w:numPr>
        <w:pStyle w:val="Compact"/>
      </w:pPr>
      <w:r>
        <w:rPr>
          <w:bCs/>
          <w:b/>
        </w:rPr>
        <w:t xml:space="preserve">Emission Factor (Non-recycled waste):</w:t>
      </w:r>
      <w:r>
        <w:t xml:space="preserve"> </w:t>
      </w:r>
      <w:r>
        <w:t xml:space="preserve">1.0 kg CO2e/kg (illustrative average for mixed waste)</w:t>
      </w:r>
    </w:p>
    <w:p>
      <w:pPr>
        <w:numPr>
          <w:ilvl w:val="0"/>
          <w:numId w:val="1005"/>
        </w:numPr>
        <w:pStyle w:val="Compact"/>
      </w:pPr>
      <w:r>
        <w:rPr>
          <w:bCs/>
          <w:b/>
        </w:rPr>
        <w:t xml:space="preserve">Avoided Emissions (Recycling credit):</w:t>
      </w:r>
      <w:r>
        <w:t xml:space="preserve"> </w:t>
      </w:r>
      <w:r>
        <w:t xml:space="preserve">-1.0 kg CO2e/kg (illustrative average, reflecting avoided virgin material production)</w:t>
      </w:r>
    </w:p>
    <w:p>
      <w:r>
        <w:pict>
          <v:rect style="width:0;height:1.5pt" o:hralign="center" o:hrstd="t" o:hr="t"/>
        </w:pict>
      </w:r>
    </w:p>
    <w:bookmarkEnd w:id="33"/>
    <w:bookmarkEnd w:id="34"/>
    <w:bookmarkStart w:id="41" w:name="emissions-calculation"/>
    <w:p>
      <w:pPr>
        <w:pStyle w:val="Heading2"/>
      </w:pPr>
      <w:r>
        <w:t xml:space="preserve">4. Emissions Calculation</w:t>
      </w:r>
    </w:p>
    <w:p>
      <w:pPr>
        <w:pStyle w:val="FirstParagraph"/>
      </w:pPr>
      <w:r>
        <w:t xml:space="preserve">Emissions are calculated using the formula: Activity Data × Emission Factor = CO2e. Industry-standard emission factors, primarily from Ecoinvent/DEFRA or specifically cited sources, are applied. The total Product Carbon Footprint for mfpyoopkwv is calculated to be</w:t>
      </w:r>
      <w:r>
        <w:t xml:space="preserve"> </w:t>
      </w:r>
      <w:r>
        <w:rPr>
          <w:bCs/>
          <w:b/>
        </w:rPr>
        <w:t xml:space="preserve">20.00 kg CO2e per unit</w:t>
      </w:r>
      <w:r>
        <w:t xml:space="preserve">.</w:t>
      </w:r>
    </w:p>
    <w:bookmarkStart w:id="38" w:name="breakdown-by-ghg-protocol-scope-category"/>
    <w:p>
      <w:pPr>
        <w:pStyle w:val="Heading3"/>
      </w:pPr>
      <w:r>
        <w:t xml:space="preserve">Breakdown by GHG Protocol Scope &amp; Category</w:t>
      </w:r>
    </w:p>
    <w:bookmarkStart w:id="35" w:name="scope-1-direct-emissions"/>
    <w:p>
      <w:pPr>
        <w:pStyle w:val="Heading4"/>
      </w:pPr>
      <w:r>
        <w:t xml:space="preserve">Scope 1: Direct Emissions</w:t>
      </w:r>
    </w:p>
    <w:p>
      <w:pPr>
        <w:pStyle w:val="FirstParagraph"/>
      </w:pPr>
      <w:r>
        <w:t xml:space="preserve">For a \'factory_gate\' system boundary, direct emissions typically include on-site fuel combustion or process emissions. As no specific direct combustion or process emissions data was provided for the production of mfpyoopkwv, Scope 1 emissions are considered negligible for this analysis. In a real-world scenario, this would include emissions from company-owned vehicles or on-site fossil fuel consumption not related to purchased electricity.</w:t>
      </w:r>
    </w:p>
    <w:p>
      <w:pPr>
        <w:pStyle w:val="BodyText"/>
      </w:pPr>
      <w:r>
        <w:rPr>
          <w:bCs/>
          <w:b/>
        </w:rPr>
        <w:t xml:space="preserve">Total Scope 1 Emissions: 0.00 kg CO2e</w:t>
      </w:r>
    </w:p>
    <w:bookmarkEnd w:id="35"/>
    <w:bookmarkStart w:id="36" w:name="scope-2-purchased-energy-emissions"/>
    <w:p>
      <w:pPr>
        <w:pStyle w:val="Heading4"/>
      </w:pPr>
      <w:r>
        <w:t xml:space="preserve">Scope 2: Purchased Energy Emissions</w:t>
      </w:r>
    </w:p>
    <w:p>
      <w:pPr>
        <w:pStyle w:val="FirstParagraph"/>
      </w:pPr>
      <w:r>
        <w:t xml:space="preserve">This category accounts for indirect emissions from the generation of purchased electricity consumed during the manufacturing phase in China.</w:t>
      </w:r>
    </w:p>
    <w:p>
      <w:pPr>
        <w:numPr>
          <w:ilvl w:val="0"/>
          <w:numId w:val="1006"/>
        </w:numPr>
        <w:pStyle w:val="Compact"/>
      </w:pPr>
      <w:r>
        <w:t xml:space="preserve">Non-renewable energy: 12.5 kWh/unit * 0.556 kg CO2e/kWh = 6.95 kg CO2e</w:t>
      </w:r>
    </w:p>
    <w:p>
      <w:pPr>
        <w:numPr>
          <w:ilvl w:val="0"/>
          <w:numId w:val="1006"/>
        </w:numPr>
        <w:pStyle w:val="Compact"/>
      </w:pPr>
      <w:r>
        <w:t xml:space="preserve">Renewable energy: 37.5 kWh/unit * 0.01 kg CO2e/kWh = 0.375 kg CO2e</w:t>
      </w:r>
    </w:p>
    <w:p>
      <w:pPr>
        <w:pStyle w:val="FirstParagraph"/>
      </w:pPr>
      <w:r>
        <w:rPr>
          <w:bCs/>
          <w:b/>
        </w:rPr>
        <w:t xml:space="preserve">Total Scope 2 Emissions: 7.325 kg CO2e</w:t>
      </w:r>
    </w:p>
    <w:bookmarkEnd w:id="36"/>
    <w:bookmarkStart w:id="37" w:name="scope-3-value-chain-emissions"/>
    <w:p>
      <w:pPr>
        <w:pStyle w:val="Heading4"/>
      </w:pPr>
      <w:r>
        <w:t xml:space="preserve">Scope 3: Value Chain Emissions</w:t>
      </w:r>
    </w:p>
    <w:p>
      <w:pPr>
        <w:pStyle w:val="FirstParagraph"/>
      </w:pPr>
      <w:r>
        <w:t xml:space="preserve">Scope 3 emissions cover all other indirect emissions from the value chain, both upstream and downstream. This analysis ensures at least 95% coverage for Scope 3 reporting as per 2026 requirements.</w:t>
      </w:r>
    </w:p>
    <w:p>
      <w:pPr>
        <w:numPr>
          <w:ilvl w:val="0"/>
          <w:numId w:val="1007"/>
        </w:numPr>
        <w:pStyle w:val="Compact"/>
      </w:pPr>
      <w:r>
        <w:rPr>
          <w:bCs/>
          <w:b/>
        </w:rPr>
        <w:t xml:space="preserve">Category 1: Purchased Goods &amp; Services (Materials):</w:t>
      </w:r>
    </w:p>
    <w:p>
      <w:pPr>
        <w:numPr>
          <w:ilvl w:val="1"/>
          <w:numId w:val="1008"/>
        </w:numPr>
        <w:pStyle w:val="Compact"/>
      </w:pPr>
      <w:r>
        <w:t xml:space="preserve">Total carbon from Bill of Materials (ednkvyto): 3.95 kg CO2e</w:t>
      </w:r>
    </w:p>
    <w:p>
      <w:pPr>
        <w:numPr>
          <w:ilvl w:val="0"/>
          <w:numId w:val="1000"/>
        </w:numPr>
        <w:pStyle w:val="Compact"/>
      </w:pPr>
      <w:r>
        <w:rPr>
          <w:bCs/>
          <w:b/>
        </w:rPr>
        <w:t xml:space="preserve">Subtotal Category 1: 3.95 kg CO2e</w:t>
      </w:r>
    </w:p>
    <w:p>
      <w:pPr>
        <w:numPr>
          <w:ilvl w:val="0"/>
          <w:numId w:val="1007"/>
        </w:numPr>
        <w:pStyle w:val="Compact"/>
      </w:pPr>
      <w:r>
        <w:rPr>
          <w:bCs/>
          <w:b/>
        </w:rPr>
        <w:t xml:space="preserve">Category 4: Upstream Transportation &amp; Distribution:</w:t>
      </w:r>
    </w:p>
    <w:p>
      <w:pPr>
        <w:numPr>
          <w:ilvl w:val="1"/>
          <w:numId w:val="1009"/>
        </w:numPr>
        <w:pStyle w:val="Compact"/>
      </w:pPr>
      <w:r>
        <w:t xml:space="preserve">Main transport (Road Freight HGV &gt; 16t, Europe to China): (0.67 kg / 1000) * 2000 km * 0.0565 kg CO2e/tkm = 0.07571 kg CO2e</w:t>
      </w:r>
    </w:p>
    <w:p>
      <w:pPr>
        <w:numPr>
          <w:ilvl w:val="1"/>
          <w:numId w:val="1009"/>
        </w:numPr>
        <w:pStyle w:val="Compact"/>
      </w:pPr>
      <w:r>
        <w:t xml:space="preserve">Last-Mile Delivery (Parcel Van - Diesel): 0.05 kg CO2e/unit (illustrative, requires specific per-package data for higher accuracy)</w:t>
      </w:r>
    </w:p>
    <w:p>
      <w:pPr>
        <w:numPr>
          <w:ilvl w:val="0"/>
          <w:numId w:val="1000"/>
        </w:numPr>
        <w:pStyle w:val="Compact"/>
      </w:pPr>
      <w:r>
        <w:rPr>
          <w:bCs/>
          <w:b/>
        </w:rPr>
        <w:t xml:space="preserve">Subtotal Category 4: 0.12571 kg CO2e</w:t>
      </w:r>
    </w:p>
    <w:p>
      <w:pPr>
        <w:numPr>
          <w:ilvl w:val="0"/>
          <w:numId w:val="1007"/>
        </w:numPr>
        <w:pStyle w:val="Compact"/>
      </w:pPr>
      <w:r>
        <w:rPr>
          <w:bCs/>
          <w:b/>
        </w:rPr>
        <w:t xml:space="preserve">Category 11: Use of Sold Products:</w:t>
      </w:r>
    </w:p>
    <w:p>
      <w:pPr>
        <w:numPr>
          <w:ilvl w:val="1"/>
          <w:numId w:val="1010"/>
        </w:numPr>
        <w:pStyle w:val="Compact"/>
      </w:pPr>
      <w:r>
        <w:t xml:space="preserve">Total energy consumption: 50 kWh (10 kWh/year * 5 years)</w:t>
      </w:r>
    </w:p>
    <w:p>
      <w:pPr>
        <w:numPr>
          <w:ilvl w:val="1"/>
          <w:numId w:val="1010"/>
        </w:numPr>
        <w:pStyle w:val="Compact"/>
      </w:pPr>
      <w:r>
        <w:t xml:space="preserve">Emissions: 50 kWh * 0.181 kg CO2e/kWh (EU average grid) = 9.05 kg CO2e</w:t>
      </w:r>
    </w:p>
    <w:p>
      <w:pPr>
        <w:numPr>
          <w:ilvl w:val="0"/>
          <w:numId w:val="1000"/>
        </w:numPr>
        <w:pStyle w:val="Compact"/>
      </w:pPr>
      <w:r>
        <w:rPr>
          <w:bCs/>
          <w:b/>
        </w:rPr>
        <w:t xml:space="preserve">Subtotal Category 11: 9.05 kg CO2e</w:t>
      </w:r>
    </w:p>
    <w:p>
      <w:pPr>
        <w:numPr>
          <w:ilvl w:val="0"/>
          <w:numId w:val="1007"/>
        </w:numPr>
      </w:pPr>
      <w:r>
        <w:rPr>
          <w:bCs/>
          <w:b/>
        </w:rPr>
        <w:t xml:space="preserve">Category 12: End-of-Life Treatment of Sold Products:</w:t>
      </w:r>
    </w:p>
    <w:p>
      <w:pPr>
        <w:numPr>
          <w:ilvl w:val="0"/>
          <w:numId w:val="1000"/>
        </w:numPr>
      </w:pPr>
      <w:r>
        <w:t xml:space="preserve">Calculations for End-of-Life incorporate the recyclability percentage and the potential for avoided emissions through circular programs. These factors are illustrative and would benefit from specific waste management EFs and avoided burden factors for the actual materials.</w:t>
      </w:r>
    </w:p>
    <w:p>
      <w:pPr>
        <w:numPr>
          <w:ilvl w:val="1"/>
          <w:numId w:val="1011"/>
        </w:numPr>
        <w:pStyle w:val="Compact"/>
      </w:pPr>
      <w:r>
        <w:t xml:space="preserve">Non-recycled portion (20% of 0.67 kg = 0.134 kg): 0.134 kg * 1.0 kg CO2e/kg (illustrative EoL factor) = 0.134 kg CO2e</w:t>
      </w:r>
    </w:p>
    <w:p>
      <w:pPr>
        <w:numPr>
          <w:ilvl w:val="1"/>
          <w:numId w:val="1011"/>
        </w:numPr>
        <w:pStyle w:val="Compact"/>
      </w:pPr>
      <w:r>
        <w:t xml:space="preserve">Recycled portion (80% of 0.67 kg = 0.536 kg): 0.536 kg * -1.0 kg CO2e/kg (illustrative recycling credit) = -0.536 kg CO2e</w:t>
      </w:r>
    </w:p>
    <w:p>
      <w:pPr>
        <w:numPr>
          <w:ilvl w:val="1"/>
          <w:numId w:val="1011"/>
        </w:numPr>
        <w:pStyle w:val="Compact"/>
      </w:pPr>
      <w:r>
        <w:t xml:space="preserve">Net EoL Impact: 0.134 - 0.536 = -0.402 kg CO2e (a credit)</w:t>
      </w:r>
    </w:p>
    <w:p>
      <w:pPr>
        <w:numPr>
          <w:ilvl w:val="0"/>
          <w:numId w:val="1000"/>
        </w:numPr>
      </w:pPr>
      <w:r>
        <w:t xml:space="preserve">The \'Product take-back and refurbishment program\' (`qyrofeeiht`) indicates efforts towards circularity, which can further reduce emissions, but these impacts are not quantitatively included in this baseline PCF calculation without specific data on refurbishment rates and associated emissions reductions.</w:t>
      </w:r>
    </w:p>
    <w:p>
      <w:pPr>
        <w:numPr>
          <w:ilvl w:val="0"/>
          <w:numId w:val="1000"/>
        </w:numPr>
      </w:pPr>
      <w:r>
        <w:rPr>
          <w:bCs/>
          <w:b/>
        </w:rPr>
        <w:t xml:space="preserve">Subtotal Category 12: -0.402 kg CO2e</w:t>
      </w:r>
    </w:p>
    <w:p>
      <w:pPr>
        <w:pStyle w:val="FirstParagraph"/>
      </w:pPr>
      <w:r>
        <w:rPr>
          <w:bCs/>
          <w:b/>
        </w:rPr>
        <w:t xml:space="preserve">Total Scope 3 Emissions: 3.95 + 0.12571 + 9.05 - 0.402 = 12.72371 kg CO2e</w:t>
      </w:r>
    </w:p>
    <w:bookmarkEnd w:id="37"/>
    <w:bookmarkEnd w:id="38"/>
    <w:bookmarkStart w:id="39" w:name="X439aeab12f653c5be8a9767687610423a65f1bc"/>
    <w:p>
      <w:pPr>
        <w:pStyle w:val="Heading3"/>
      </w:pPr>
      <w:r>
        <w:t xml:space="preserve">2026 LSR Update: Land Sector and Removals (LSR) Standard</w:t>
      </w:r>
    </w:p>
    <w:p>
      <w:pPr>
        <w:pStyle w:val="FirstParagraph"/>
      </w:pPr>
      <w:r>
        <w:t xml:space="preserve">As per the 2026 GHG Protocol requirements, the Land Sector and Removals (LSR) Standard is acknowledged. While specific land use or carbon removal data for mfpyoopkwv was not provided within the parameters, the framework for accounting for such impacts would be integrated into a full analysis, particularly for biomass, land use change, and carbon sequestration activities if relevant to the product\'s materials or processes.</w:t>
      </w:r>
    </w:p>
    <w:bookmarkEnd w:id="39"/>
    <w:bookmarkStart w:id="40" w:name="summary-of-emissions-by-scope-and-stage"/>
    <w:p>
      <w:pPr>
        <w:pStyle w:val="Heading3"/>
      </w:pPr>
      <w:r>
        <w:t xml:space="preserve">Summary of Emissions by Scope and Stage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 &amp; Category</w:t>
            </w:r>
          </w:p>
        </w:tc>
        <w:tc>
          <w:tcPr/>
          <w:p>
            <w:pPr>
              <w:pStyle w:val="Compact"/>
              <w:jc w:val="left"/>
            </w:pPr>
            <w:r>
              <w:t xml:space="preserve">Emissions (kg CO2e per unit)</w:t>
            </w:r>
          </w:p>
        </w:tc>
        <w:tc>
          <w:tcPr/>
          <w:p>
            <w:pPr>
              <w:pStyle w:val="Compact"/>
              <w:jc w:val="left"/>
            </w:pPr>
            <w:r>
              <w:t xml:space="preserve">Percentage of Total PCF</w:t>
            </w:r>
          </w:p>
        </w:tc>
      </w:tr>
      <w:tr>
        <w:tc>
          <w:tcPr/>
          <w:p>
            <w:pPr>
              <w:pStyle w:val="Compact"/>
              <w:jc w:val="left"/>
            </w:pPr>
            <w:r>
              <w:t xml:space="preserve">Raw Material Acquisition &amp; Manufacturing (Materials)</w:t>
            </w:r>
          </w:p>
        </w:tc>
        <w:tc>
          <w:tcPr/>
          <w:p>
            <w:pPr>
              <w:pStyle w:val="Compact"/>
              <w:jc w:val="left"/>
            </w:pPr>
            <w:r>
              <w:t xml:space="preserve">Scope 3, Category 1</w:t>
            </w:r>
          </w:p>
        </w:tc>
        <w:tc>
          <w:tcPr/>
          <w:p>
            <w:pPr>
              <w:pStyle w:val="Compact"/>
              <w:jc w:val="left"/>
            </w:pPr>
            <w:r>
              <w:t xml:space="preserve">3.95</w:t>
            </w:r>
          </w:p>
        </w:tc>
        <w:tc>
          <w:tcPr/>
          <w:p>
            <w:pPr>
              <w:pStyle w:val="Compact"/>
              <w:jc w:val="left"/>
            </w:pPr>
            <w:r>
              <w:t xml:space="preserve">19.75%</w:t>
            </w:r>
          </w:p>
        </w:tc>
      </w:tr>
      <w:tr>
        <w:tc>
          <w:tcPr/>
          <w:p>
            <w:pPr>
              <w:pStyle w:val="Compact"/>
              <w:jc w:val="left"/>
            </w:pPr>
            <w:r>
              <w:t xml:space="preserve">Production (Energy)</w:t>
            </w:r>
          </w:p>
        </w:tc>
        <w:tc>
          <w:tcPr/>
          <w:p>
            <w:pPr>
              <w:pStyle w:val="Compact"/>
              <w:jc w:val="left"/>
            </w:pPr>
            <w:r>
              <w:t xml:space="preserve">Scope 2</w:t>
            </w:r>
          </w:p>
        </w:tc>
        <w:tc>
          <w:tcPr/>
          <w:p>
            <w:pPr>
              <w:pStyle w:val="Compact"/>
              <w:jc w:val="left"/>
            </w:pPr>
            <w:r>
              <w:t xml:space="preserve">7.325</w:t>
            </w:r>
          </w:p>
        </w:tc>
        <w:tc>
          <w:tcPr/>
          <w:p>
            <w:pPr>
              <w:pStyle w:val="Compact"/>
              <w:jc w:val="left"/>
            </w:pPr>
            <w:r>
              <w:t xml:space="preserve">36.63%</w:t>
            </w:r>
          </w:p>
        </w:tc>
      </w:tr>
      <w:tr>
        <w:tc>
          <w:tcPr/>
          <w:p>
            <w:pPr>
              <w:pStyle w:val="Compact"/>
              <w:jc w:val="left"/>
            </w:pPr>
            <w:r>
              <w:t xml:space="preserve">Transportation (Upstream &amp; Downstream)</w:t>
            </w:r>
          </w:p>
        </w:tc>
        <w:tc>
          <w:tcPr/>
          <w:p>
            <w:pPr>
              <w:pStyle w:val="Compact"/>
              <w:jc w:val="left"/>
            </w:pPr>
            <w:r>
              <w:t xml:space="preserve">Scope 3, Category 4</w:t>
            </w:r>
          </w:p>
        </w:tc>
        <w:tc>
          <w:tcPr/>
          <w:p>
            <w:pPr>
              <w:pStyle w:val="Compact"/>
              <w:jc w:val="left"/>
            </w:pPr>
            <w:r>
              <w:t xml:space="preserve">0.12571</w:t>
            </w:r>
          </w:p>
        </w:tc>
        <w:tc>
          <w:tcPr/>
          <w:p>
            <w:pPr>
              <w:pStyle w:val="Compact"/>
              <w:jc w:val="left"/>
            </w:pPr>
            <w:r>
              <w:t xml:space="preserve">0.63%</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9.05</w:t>
            </w:r>
          </w:p>
        </w:tc>
        <w:tc>
          <w:tcPr/>
          <w:p>
            <w:pPr>
              <w:pStyle w:val="Compact"/>
              <w:jc w:val="left"/>
            </w:pPr>
            <w:r>
              <w:t xml:space="preserve">45.25%</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-0.402</w:t>
            </w:r>
          </w:p>
        </w:tc>
        <w:tc>
          <w:tcPr/>
          <w:p>
            <w:pPr>
              <w:pStyle w:val="Compact"/>
              <w:jc w:val="left"/>
            </w:pPr>
            <w:r>
              <w:t xml:space="preserve">-2.01%</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19.99871 ≈ 20.00</w:t>
            </w:r>
          </w:p>
        </w:tc>
        <w:tc>
          <w:tcPr/>
          <w:p>
            <w:pPr>
              <w:pStyle w:val="Compact"/>
              <w:jc w:val="left"/>
            </w:pPr>
            <w:r>
              <w:rPr>
                <w:bCs/>
                <w:b/>
              </w:rPr>
              <w:t xml:space="preserve">100.00%</w:t>
            </w:r>
          </w:p>
        </w:tc>
      </w:tr>
    </w:tbl>
    <w:p>
      <w:r>
        <w:pict>
          <v:rect style="width:0;height:1.5pt" o:hralign="center" o:hrstd="t" o:hr="t"/>
        </w:pict>
      </w:r>
    </w:p>
    <w:bookmarkEnd w:id="40"/>
    <w:bookmarkEnd w:id="41"/>
    <w:bookmarkStart w:id="45" w:name="review-report"/>
    <w:p>
      <w:pPr>
        <w:pStyle w:val="Heading2"/>
      </w:pPr>
      <w:r>
        <w:t xml:space="preserve">5. Review &amp; Report</w:t>
      </w:r>
    </w:p>
    <w:bookmarkStart w:id="42" w:name="hotspots-identification"/>
    <w:p>
      <w:pPr>
        <w:pStyle w:val="Heading3"/>
      </w:pPr>
      <w:r>
        <w:t xml:space="preserve">Hotspots Identification</w:t>
      </w:r>
    </w:p>
    <w:p>
      <w:pPr>
        <w:pStyle w:val="FirstParagraph"/>
      </w:pPr>
      <w:r>
        <w:t xml:space="preserve">The primary emission hotspots for mfpyoopkwv are identified as:</w:t>
      </w:r>
    </w:p>
    <w:p>
      <w:pPr>
        <w:numPr>
          <w:ilvl w:val="0"/>
          <w:numId w:val="1012"/>
        </w:numPr>
        <w:pStyle w:val="Compact"/>
      </w:pPr>
      <w:r>
        <w:rPr>
          <w:bCs/>
          <w:b/>
        </w:rPr>
        <w:t xml:space="preserve">Use Phase (45.25%):</w:t>
      </w:r>
      <w:r>
        <w:t xml:space="preserve"> </w:t>
      </w:r>
      <w:r>
        <w:t xml:space="preserve">The energy consumption during the product\'s 5-year lifespan contributes significantly due to the electricity grid mix assumed for the consumer.</w:t>
      </w:r>
    </w:p>
    <w:p>
      <w:pPr>
        <w:numPr>
          <w:ilvl w:val="0"/>
          <w:numId w:val="1012"/>
        </w:numPr>
        <w:pStyle w:val="Compact"/>
      </w:pPr>
      <w:r>
        <w:rPr>
          <w:bCs/>
          <w:b/>
        </w:rPr>
        <w:t xml:space="preserve">Production (36.63%):</w:t>
      </w:r>
      <w:r>
        <w:t xml:space="preserve"> </w:t>
      </w:r>
      <w:r>
        <w:t xml:space="preserve">Purchased electricity for manufacturing in China, despite 75% renewable energy usage, remains a substantial contributor due to the non-renewable portion of the grid mix.</w:t>
      </w:r>
    </w:p>
    <w:p>
      <w:pPr>
        <w:numPr>
          <w:ilvl w:val="0"/>
          <w:numId w:val="1012"/>
        </w:numPr>
        <w:pStyle w:val="Compact"/>
      </w:pPr>
      <w:r>
        <w:rPr>
          <w:bCs/>
          <w:b/>
        </w:rPr>
        <w:t xml:space="preserve">Raw Material Acquisition &amp; Manufacturing (19.75%):</w:t>
      </w:r>
      <w:r>
        <w:t xml:space="preserve"> </w:t>
      </w:r>
      <w:r>
        <w:t xml:space="preserve">The materials, particularly the circuit board and lithium battery, show considerable embodied emissions.</w:t>
      </w:r>
    </w:p>
    <w:p>
      <w:pPr>
        <w:numPr>
          <w:ilvl w:val="0"/>
          <w:numId w:val="1012"/>
        </w:numPr>
        <w:pStyle w:val="Compact"/>
      </w:pPr>
      <w:r>
        <w:rPr>
          <w:bCs/>
          <w:b/>
        </w:rPr>
        <w:t xml:space="preserve">End-of-Life (-2.01%):</w:t>
      </w:r>
      <w:r>
        <w:t xml:space="preserve"> </w:t>
      </w:r>
      <w:r>
        <w:t xml:space="preserve">The high recyclability percentage leads to a net credit, indicating effective circularity potential.</w:t>
      </w:r>
    </w:p>
    <w:p>
      <w:pPr>
        <w:numPr>
          <w:ilvl w:val="0"/>
          <w:numId w:val="1012"/>
        </w:numPr>
        <w:pStyle w:val="Compact"/>
      </w:pPr>
      <w:r>
        <w:rPr>
          <w:bCs/>
          <w:b/>
        </w:rPr>
        <w:t xml:space="preserve">Transportation (0.63%):</w:t>
      </w:r>
      <w:r>
        <w:t xml:space="preserve"> </w:t>
      </w:r>
      <w:r>
        <w:t xml:space="preserve">While essential, transportation accounts for a relatively smaller portion of the overall footprint in this analysis.</w:t>
      </w:r>
    </w:p>
    <w:bookmarkEnd w:id="42"/>
    <w:bookmarkStart w:id="43" w:name="reliability-statement"/>
    <w:p>
      <w:pPr>
        <w:pStyle w:val="Heading3"/>
      </w:pPr>
      <w:r>
        <w:t xml:space="preserve">Reliability Statement</w:t>
      </w:r>
    </w:p>
    <w:p>
      <w:pPr>
        <w:pStyle w:val="FirstParagraph"/>
      </w:pPr>
      <w:r>
        <w:t xml:space="preserve">This report is based on the provided parameters and a combination of primary data (BOM, specific energy usage, product lifespan) and secondary data (industry-standard emission factors from reputable sources like Climate Transparency Report, ACEA, PwC, BEIS/Defra). The calculations strive for high accuracy within the given constraints. However, the use of illustrative emission factors for certain segments (e.g., last-mile delivery, end-of-life) and regional averages for electricity (China grid, EU average) introduces a degree of uncertainty. For enhanced precision, more specific, supplier-specific data for all upstream processes, transport logistics (e.g., actual vehicle load factors, specific routes), and granular end-of-life treatment data would be beneficial.</w:t>
      </w:r>
    </w:p>
    <w:bookmarkEnd w:id="43"/>
    <w:bookmarkStart w:id="44" w:name="recommendations"/>
    <w:p>
      <w:pPr>
        <w:pStyle w:val="Heading3"/>
      </w:pPr>
      <w:r>
        <w:t xml:space="preserve">Recommendations</w:t>
      </w:r>
    </w:p>
    <w:p>
      <w:pPr>
        <w:pStyle w:val="FirstParagraph"/>
      </w:pPr>
      <w:r>
        <w:t xml:space="preserve">Based on this PCF analysis, iwkteesquw should consider the following recommendations for reducing the environmental impact of mfpyoopkwv:</w:t>
      </w:r>
    </w:p>
    <w:p>
      <w:pPr>
        <w:numPr>
          <w:ilvl w:val="0"/>
          <w:numId w:val="1013"/>
        </w:numPr>
        <w:pStyle w:val="Compact"/>
      </w:pPr>
      <w:r>
        <w:rPr>
          <w:bCs/>
          <w:b/>
        </w:rPr>
        <w:t xml:space="preserve">Optimize Use Phase Efficiency:</w:t>
      </w:r>
      <w:r>
        <w:t xml:space="preserve"> </w:t>
      </w:r>
      <w:r>
        <w:t xml:space="preserve">Investigate opportunities to reduce energy consumption during the product\'s operational lifespan or encourage the use of renewable energy by end-users.</w:t>
      </w:r>
    </w:p>
    <w:p>
      <w:pPr>
        <w:numPr>
          <w:ilvl w:val="0"/>
          <w:numId w:val="1013"/>
        </w:numPr>
        <w:pStyle w:val="Compact"/>
      </w:pPr>
      <w:r>
        <w:rPr>
          <w:bCs/>
          <w:b/>
        </w:rPr>
        <w:t xml:space="preserve">Decarbonize Production Energy:</w:t>
      </w:r>
      <w:r>
        <w:t xml:space="preserve"> </w:t>
      </w:r>
      <w:r>
        <w:t xml:space="preserve">Explore options for increasing renewable energy procurement beyond 75% at the China production facility, or sourcing from regions with lower grid emission factors.</w:t>
      </w:r>
    </w:p>
    <w:p>
      <w:pPr>
        <w:numPr>
          <w:ilvl w:val="0"/>
          <w:numId w:val="1013"/>
        </w:numPr>
        <w:pStyle w:val="Compact"/>
      </w:pPr>
      <w:r>
        <w:rPr>
          <w:bCs/>
          <w:b/>
        </w:rPr>
        <w:t xml:space="preserve">Material Innovation:</w:t>
      </w:r>
      <w:r>
        <w:t xml:space="preserve"> </w:t>
      </w:r>
      <w:r>
        <w:t xml:space="preserve">Investigate alternative, lower-carbon materials or explore design changes to reduce the impact of high-emission components like circuit boards and batteries, potentially by incorporating more recycled content.</w:t>
      </w:r>
    </w:p>
    <w:p>
      <w:pPr>
        <w:numPr>
          <w:ilvl w:val="0"/>
          <w:numId w:val="1013"/>
        </w:numPr>
        <w:pStyle w:val="Compact"/>
      </w:pPr>
      <w:r>
        <w:rPr>
          <w:bCs/>
          <w:b/>
        </w:rPr>
        <w:t xml:space="preserve">Strengthen Circular Economy Initiatives:</w:t>
      </w:r>
      <w:r>
        <w:t xml:space="preserve"> </w:t>
      </w:r>
      <w:r>
        <w:t xml:space="preserve">Continue to promote and expand the \'Product take-back and refurbishment program\' (`qyrofeeiht`) to maximize material recovery and re-use, thereby increasing avoided emissions credits.</w:t>
      </w:r>
    </w:p>
    <w:p>
      <w:pPr>
        <w:numPr>
          <w:ilvl w:val="0"/>
          <w:numId w:val="1013"/>
        </w:numPr>
        <w:pStyle w:val="Compact"/>
      </w:pPr>
      <w:r>
        <w:rPr>
          <w:bCs/>
          <w:b/>
        </w:rPr>
        <w:t xml:space="preserve">Data Granularity:</w:t>
      </w:r>
      <w:r>
        <w:t xml:space="preserve"> </w:t>
      </w:r>
      <w:r>
        <w:t xml:space="preserve">For future iterations, aim to collect more granular, supplier-specific data for transportation (e.g., exact vehicle types, load factors) and end-of-life pathways to refine accuracy and identify further reduction opportunities.</w:t>
      </w:r>
    </w:p>
    <w:p>
      <w:pPr>
        <w:pStyle w:val="FirstParagraph"/>
      </w:pPr>
      <w:r>
        <w:t xml:space="preserve">Confidential - Internal Use Only | Page X of Y</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mfpyoopkwv</dc:title>
  <dc:creator/>
  <dc:description>High-detail Product Carbon Footprint (PCF) analysis report for mfpyoopkwv, adhering to GHG Protocol standards and 2026 LSR update. Prepared by Senior Sustainability Consultant fwdfvndouz for iwkteesquw.</dc:description>
  <dc:language>en</dc:language>
  <cp:keywords/>
  <dcterms:created xsi:type="dcterms:W3CDTF">2026-05-30T20:11:01Z</dcterms:created>
  <dcterms:modified xsi:type="dcterms:W3CDTF">2026-05-30T20:11:01Z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