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meovunkdft</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meovunkdft</w:t>
      </w:r>
    </w:p>
    <w:p>
      <w:pPr>
        <w:pStyle w:val="BodyText"/>
      </w:pPr>
      <w:r>
        <w:rPr>
          <w:bCs/>
          <w:b/>
        </w:rPr>
        <w:t xml:space="preserve">Company:</w:t>
      </w:r>
      <w:r>
        <w:t xml:space="preserve"> </w:t>
      </w:r>
      <w:r>
        <w:t xml:space="preserve">koktvxzded</w:t>
      </w:r>
    </w:p>
    <w:p>
      <w:pPr>
        <w:pStyle w:val="BodyText"/>
      </w:pPr>
      <w:r>
        <w:rPr>
          <w:bCs/>
          <w:b/>
        </w:rPr>
        <w:t xml:space="preserve">Senior Sustainability Consultant:</w:t>
      </w:r>
      <w:r>
        <w:t xml:space="preserve"> </w:t>
      </w:r>
      <w:r>
        <w:t xml:space="preserve">wdkosnizlf</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including specific parameters provided by koktvxzded. While every effort has been made to ensure accuracy, the actual environmental impact may vary based on real-world conditions and data availability. This analysis aims to identify key emission hotspots and provide a robust estimate of the product\'s carbon footprint.</w:t>
      </w:r>
    </w:p>
    <w:bookmarkEnd w:id="20"/>
    <w:bookmarkStart w:id="47" w:name="X6901cc2149bcb8912129e0a21d67f206e75a6f5"/>
    <w:p>
      <w:pPr>
        <w:pStyle w:val="Heading1"/>
      </w:pPr>
      <w:r>
        <w:t xml:space="preserve">Product Carbon Footprint (PCF) Analysis Report for meovunkdft</w:t>
      </w:r>
    </w:p>
    <w:p>
      <w:pPr>
        <w:pStyle w:val="FirstParagraph"/>
      </w:pPr>
      <w:r>
        <w:rPr>
          <w:bCs/>
          <w:b/>
        </w:rPr>
        <w:t xml:space="preserve">Generated Date:</w:t>
      </w:r>
      <w:r>
        <w:t xml:space="preserve"> </w:t>
      </w:r>
      <w:r>
        <w:t xml:space="preserve">May 23,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conducted by wdkosnizlf, Senior Sustainability Consultant for koktvxzded, provides a detailed assessment of the greenhouse gas (GHG) emissions associated with the product "meovunkdft". The analysis adheres strictly to the GHG Protocol accounting standard, incorporating the 2026 Land Sector and Removals (LSR) update and targeting over 95% coverage for Scope 3 emissions. The report identifies key emission hotspots across the product\'s lifecycle, from material extraction and manufacturing to the use phase and end-of-life scenarios, offering a comprehensive understanding of its environmental impact. This study provides koktvxzded with actionable insights to drive sustainability improvements and reduce the overall carbon footprint of meovunkdft.</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This Product Carbon Footprint (PCF) analysis for "meovunkdft" follows a five-step methodology aligned with the GHG Protocol Product Standard. The assessment covers a comprehensive lifecycle view to provide a holistic understanding of environmental impacts.</w:t>
      </w:r>
    </w:p>
    <w:bookmarkStart w:id="22"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of meovunkdft.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This "cradle-to-gate" boundary includes emissions from material extraction, material processing, and product manufacturing up to the point the finished product leaves koktvxzded\'s factory gate. For a comprehensive product lifecycle, upstream transportation, downstream transportation, use phase, and end-of-life impacts are also analyzed separately as part of the overall assessment, extending beyond the strict "factory_gate" definition.</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is the primary location for the manufacturing of meovunkdft.</w:t>
      </w:r>
    </w:p>
    <w:p>
      <w:pPr>
        <w:numPr>
          <w:ilvl w:val="1"/>
          <w:numId w:val="1002"/>
        </w:numPr>
        <w:pStyle w:val="Compact"/>
      </w:pPr>
      <w:r>
        <w:rPr>
          <w:bCs/>
          <w:b/>
        </w:rPr>
        <w:t xml:space="preserve">Supply Chain Focus:</w:t>
      </w:r>
      <w:r>
        <w:t xml:space="preserve"> </w:t>
      </w:r>
      <w:r>
        <w:t xml:space="preserve">Europe Focused. Upstream material sourcing and inbound logistics are primarily considered from a European perspective.</w:t>
      </w:r>
    </w:p>
    <w:p>
      <w:pPr>
        <w:numPr>
          <w:ilvl w:val="0"/>
          <w:numId w:val="1001"/>
        </w:numPr>
        <w:pStyle w:val="Compact"/>
      </w:pPr>
      <w:r>
        <w:rPr>
          <w:bCs/>
          <w:b/>
        </w:rPr>
        <w:t xml:space="preserve">Allocation:</w:t>
      </w:r>
      <w:r>
        <w:t xml:space="preserve"> </w:t>
      </w:r>
      <w:r>
        <w:t xml:space="preserve">Mass-based allocation is applied for co-products and shared processes where relevant, ensuring proportional distribution of environmental burdens.</w:t>
      </w:r>
    </w:p>
    <w:p>
      <w:pPr>
        <w:numPr>
          <w:ilvl w:val="0"/>
          <w:numId w:val="1001"/>
        </w:numPr>
        <w:pStyle w:val="Compact"/>
      </w:pPr>
      <w:r>
        <w:rPr>
          <w:bCs/>
          <w:b/>
        </w:rPr>
        <w:t xml:space="preserve">Accounting Standard:</w:t>
      </w:r>
      <w:r>
        <w:t xml:space="preserve"> </w:t>
      </w:r>
      <w:r>
        <w:t xml:space="preserve">The analysis strictly adheres to the GHG Protocol Product Standard, providing a robust framework for quantifying product-level GHG emissions. Emissions are categorized into Scope 1 (direct emissions), Scope 2 (purchased electricity, heat, or steam), and Scope 3 (all other indirect emissions in the value chain).</w:t>
      </w:r>
    </w:p>
    <w:bookmarkEnd w:id="22"/>
    <w:bookmarkStart w:id="23" w:name="ghg-protocol-adherence-and-2026-updates"/>
    <w:p>
      <w:pPr>
        <w:pStyle w:val="Heading3"/>
      </w:pPr>
      <w:r>
        <w:t xml:space="preserve">1.2. GHG Protocol Adherence and 2026 Updates</w:t>
      </w:r>
    </w:p>
    <w:p>
      <w:pPr>
        <w:numPr>
          <w:ilvl w:val="0"/>
          <w:numId w:val="1003"/>
        </w:numPr>
        <w:pStyle w:val="Compact"/>
      </w:pPr>
      <w:r>
        <w:rPr>
          <w:bCs/>
          <w:b/>
        </w:rPr>
        <w:t xml:space="preserve">Scope 1, 2, and 3 Categorization:</w:t>
      </w:r>
      <w:r>
        <w:t xml:space="preserve"> </w:t>
      </w:r>
      <w:r>
        <w:t xml:space="preserve">All identified emissions are categorized according to the GHG Protocol\'s scopes to provide clear accountability and facilitate targeted reduction strategies.</w:t>
      </w:r>
    </w:p>
    <w:p>
      <w:pPr>
        <w:numPr>
          <w:ilvl w:val="0"/>
          <w:numId w:val="1003"/>
        </w:numPr>
        <w:pStyle w:val="Compact"/>
      </w:pPr>
      <w:r>
        <w:rPr>
          <w:bCs/>
          <w:b/>
        </w:rPr>
        <w:t xml:space="preserve">2026 LSR Update:</w:t>
      </w:r>
      <w:r>
        <w:t xml:space="preserve"> </w:t>
      </w:r>
      <w:r>
        <w:t xml:space="preserve">The GHG Protocol released its Land Sector and Removals (LSR) Standard on January 30, 2026, which takes effect on January 1, 2027. While full guidance is expected in Q2 2026, this analysis conceptually applies the principles of the LSR Standard to account for land-related emissions and removals. Specific granular land-use change data for primary material extraction was not provided, but the importance of this standard for future granular reporting is acknowledged.</w:t>
      </w:r>
    </w:p>
    <w:p>
      <w:pPr>
        <w:numPr>
          <w:ilvl w:val="0"/>
          <w:numId w:val="1003"/>
        </w:numPr>
        <w:pStyle w:val="Compact"/>
      </w:pPr>
      <w:r>
        <w:rPr>
          <w:bCs/>
          <w:b/>
        </w:rPr>
        <w:t xml:space="preserve">Scope 3 Compliance:</w:t>
      </w:r>
      <w:r>
        <w:t xml:space="preserve"> </w:t>
      </w:r>
      <w:r>
        <w:t xml:space="preserve">This report aims for at least 95% coverage for Scope 3 reporting, as per the stringent 2026 requirements, which mandate companies to account for at least 95% of total required Scope 3 emissions to claim conformance. This is achieved through a comprehensive assessment of upstream and downstream value chain activities, including purchased goods and services, transportation, use phase, and end-of-life treatment.</w:t>
      </w:r>
    </w:p>
    <w:p>
      <w:r>
        <w:pict>
          <v:rect style="width:0;height:1.5pt" o:hralign="center" o:hrstd="t" o:hr="t"/>
        </w:pict>
      </w:r>
    </w:p>
    <w:bookmarkEnd w:id="23"/>
    <w:bookmarkEnd w:id="24"/>
    <w:bookmarkStart w:id="30" w:name="X2bf58de29a7a901ba932b9a6a779f7f86e80a1b"/>
    <w:p>
      <w:pPr>
        <w:pStyle w:val="Heading2"/>
      </w:pPr>
      <w:r>
        <w:t xml:space="preserve">2. Lifecycle Mapping and Data Collection (LCI Inventory)</w:t>
      </w:r>
    </w:p>
    <w:p>
      <w:pPr>
        <w:pStyle w:val="FirstParagraph"/>
      </w:pPr>
      <w:r>
        <w:t xml:space="preserve">This section details the lifecycle stages considered and the primary and secondary data points collected for the Product Carbon Footprint of meovunkdft. The Bill of Materials (BOM) provides a highly accurate basis for material impact calculations.</w:t>
      </w:r>
    </w:p>
    <w:bookmarkStart w:id="25" w:name="X55ef774140c5fbbb89bdcf39ed525ca06a46d2e"/>
    <w:p>
      <w:pPr>
        <w:pStyle w:val="Heading3"/>
      </w:pPr>
      <w:r>
        <w:t xml:space="preserve">2.1. Detailed Bill of Materials (BOM) - dxylmvqt</w:t>
      </w:r>
    </w:p>
    <w:p>
      <w:pPr>
        <w:pStyle w:val="FirstParagraph"/>
      </w:pPr>
      <w:r>
        <w:t xml:space="preserve">The following table presents the detailed Bill of Materials for meovunkdft, including specific emission factors and total carbon impact for each component as provided. These values are directly used in the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Enclosure</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11.0775</w:t>
            </w:r>
          </w:p>
        </w:tc>
      </w:tr>
      <w:tr>
        <w:tc>
          <w:tcPr/>
          <w:p>
            <w:pPr>
              <w:pStyle w:val="Compact"/>
              <w:jc w:val="left"/>
            </w:pPr>
            <w:r>
              <w:t xml:space="preserve">M002</w:t>
            </w:r>
          </w:p>
        </w:tc>
        <w:tc>
          <w:tcPr/>
          <w:p>
            <w:pPr>
              <w:pStyle w:val="Compact"/>
              <w:jc w:val="left"/>
            </w:pPr>
            <w:r>
              <w:t xml:space="preserve">PCBA (Printed Circuit Board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M003</w:t>
            </w:r>
          </w:p>
        </w:tc>
        <w:tc>
          <w:tcPr/>
          <w:p>
            <w:pPr>
              <w:pStyle w:val="Compact"/>
              <w:jc w:val="left"/>
            </w:pPr>
            <w:r>
              <w:t xml:space="preserve">ABS Plastic Casing (internal)</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3.13</w:t>
            </w:r>
          </w:p>
        </w:tc>
        <w:tc>
          <w:tcPr/>
          <w:p>
            <w:pPr>
              <w:pStyle w:val="Compact"/>
              <w:jc w:val="left"/>
            </w:pPr>
            <w:r>
              <w:t xml:space="preserve">0.626</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0.30</w:t>
            </w:r>
          </w:p>
        </w:tc>
        <w:tc>
          <w:tcPr/>
          <w:p>
            <w:pPr>
              <w:pStyle w:val="Compact"/>
              <w:jc w:val="left"/>
            </w:pPr>
            <w:r>
              <w:t xml:space="preserve">kg</w:t>
            </w:r>
          </w:p>
        </w:tc>
        <w:tc>
          <w:tcPr/>
          <w:p>
            <w:pPr>
              <w:pStyle w:val="Compact"/>
              <w:jc w:val="left"/>
            </w:pPr>
            <w:r>
              <w:t xml:space="preserve">0.82</w:t>
            </w:r>
          </w:p>
        </w:tc>
        <w:tc>
          <w:tcPr/>
          <w:p>
            <w:pPr>
              <w:pStyle w:val="Compact"/>
              <w:jc w:val="left"/>
            </w:pPr>
            <w:r>
              <w:t xml:space="preserve">0.246</w:t>
            </w:r>
          </w:p>
        </w:tc>
      </w:tr>
      <w:tr>
        <w:tc>
          <w:tcPr/>
          <w:p>
            <w:pPr>
              <w:pStyle w:val="Compact"/>
              <w:jc w:val="left"/>
            </w:pPr>
            <w:r>
              <w:t xml:space="preserve">M006</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3.52</w:t>
            </w:r>
          </w:p>
        </w:tc>
        <w:tc>
          <w:tcPr/>
          <w:p>
            <w:pPr>
              <w:pStyle w:val="Compact"/>
              <w:jc w:val="left"/>
            </w:pPr>
            <w:r>
              <w:t xml:space="preserve">0.0704</w:t>
            </w:r>
          </w:p>
        </w:tc>
      </w:tr>
      <w:tr>
        <w:tc>
          <w:tcPr>
            <w:gridSpan w:val="7"/>
          </w:tcPr>
          <w:p>
            <w:pPr>
              <w:pStyle w:val="Compact"/>
              <w:jc w:val="right"/>
            </w:pPr>
            <w:r>
              <w:t xml:space="preserve">Subtotal Material Carbon Footprint:</w:t>
            </w:r>
          </w:p>
        </w:tc>
        <w:tc>
          <w:tcPr/>
          <w:p>
            <w:pPr>
              <w:pStyle w:val="Compact"/>
              <w:jc w:val="left"/>
            </w:pPr>
            <w:r>
              <w:t xml:space="preserve">16.5199</w:t>
            </w:r>
          </w:p>
        </w:tc>
      </w:tr>
    </w:tbl>
    <w:bookmarkEnd w:id="25"/>
    <w:bookmarkStart w:id="26" w:name="energy-inputs-and-production-data"/>
    <w:p>
      <w:pPr>
        <w:pStyle w:val="Heading3"/>
      </w:pPr>
      <w:r>
        <w:t xml:space="preserve">2.2. Energy Inputs and Production Data</w:t>
      </w:r>
    </w:p>
    <w:p>
      <w:pPr>
        <w:numPr>
          <w:ilvl w:val="0"/>
          <w:numId w:val="1004"/>
        </w:numPr>
        <w:pStyle w:val="Compact"/>
      </w:pPr>
      <w:r>
        <w:rPr>
          <w:bCs/>
          <w:b/>
        </w:rPr>
        <w:t xml:space="preserve">Renewable Energy Usage (ediitgslfj):</w:t>
      </w:r>
      <w:r>
        <w:t xml:space="preserve"> </w:t>
      </w:r>
      <w:r>
        <w:t xml:space="preserve">The manufacturing facility for meovunkdft utilizes 70% renewable electricity. This significantly reduces the Scope 2 emissions associated with production.</w:t>
      </w:r>
    </w:p>
    <w:p>
      <w:pPr>
        <w:numPr>
          <w:ilvl w:val="0"/>
          <w:numId w:val="1004"/>
        </w:numPr>
        <w:pStyle w:val="Compact"/>
      </w:pPr>
      <w:r>
        <w:rPr>
          <w:bCs/>
          <w:b/>
        </w:rPr>
        <w:t xml:space="preserve">Energy Intensity (mzlpelwlzp):</w:t>
      </w:r>
      <w:r>
        <w:t xml:space="preserve"> </w:t>
      </w:r>
      <w:r>
        <w:t xml:space="preserve">The energy consumed during the production phase is 15 kWh per unit of meovunkdft. This includes all processes from assembly to final testing.</w:t>
      </w:r>
    </w:p>
    <w:bookmarkEnd w:id="26"/>
    <w:bookmarkStart w:id="27" w:name="logistics-data"/>
    <w:p>
      <w:pPr>
        <w:pStyle w:val="Heading3"/>
      </w:pPr>
      <w:r>
        <w:t xml:space="preserve">2.3. Logistics Data</w:t>
      </w:r>
    </w:p>
    <w:p>
      <w:pPr>
        <w:pStyle w:val="FirstParagraph"/>
      </w:pPr>
      <w:r>
        <w:t xml:space="preserve">Transportation plays a critical role in the product\'s overall carbon footprint, particularly with a global supply chain.</w:t>
      </w:r>
    </w:p>
    <w:p>
      <w:pPr>
        <w:numPr>
          <w:ilvl w:val="0"/>
          <w:numId w:val="1005"/>
        </w:numPr>
        <w:pStyle w:val="Compact"/>
      </w:pPr>
      <w:r>
        <w:rPr>
          <w:bCs/>
          <w:b/>
        </w:rPr>
        <w:t xml:space="preserve">Inbound Transport Mode (Raw Materials/Components from Europe to China - Select Mode):</w:t>
      </w:r>
      <w:r>
        <w:t xml:space="preserve"> </w:t>
      </w:r>
      <w:r>
        <w:t xml:space="preserve">Road Freight (Assumed: Long-haul heavy truck).</w:t>
      </w:r>
    </w:p>
    <w:p>
      <w:pPr>
        <w:numPr>
          <w:ilvl w:val="0"/>
          <w:numId w:val="1005"/>
        </w:numPr>
        <w:pStyle w:val="Compact"/>
      </w:pPr>
      <w:r>
        <w:rPr>
          <w:bCs/>
          <w:b/>
        </w:rPr>
        <w:t xml:space="preserve">Inbound Transport Distance (iliwstdytu):</w:t>
      </w:r>
      <w:r>
        <w:t xml:space="preserve"> </w:t>
      </w:r>
      <w:r>
        <w:t xml:space="preserve">An estimated 1500 km for key components sourced from Europe to the final production facility in China.</w:t>
      </w:r>
    </w:p>
    <w:p>
      <w:pPr>
        <w:numPr>
          <w:ilvl w:val="0"/>
          <w:numId w:val="1005"/>
        </w:numPr>
        <w:pStyle w:val="Compact"/>
      </w:pPr>
      <w:r>
        <w:rPr>
          <w:bCs/>
          <w:b/>
        </w:rPr>
        <w:t xml:space="preserve">Outbound Transport Mode (Finished Product from China to Europe):</w:t>
      </w:r>
      <w:r>
        <w:t xml:space="preserve"> </w:t>
      </w:r>
      <w:r>
        <w:t xml:space="preserve">Sea Freight (Assumed: Container Ship). While not explicitly provided for outbound, this is a common mode for long distances.</w:t>
      </w:r>
    </w:p>
    <w:p>
      <w:pPr>
        <w:numPr>
          <w:ilvl w:val="0"/>
          <w:numId w:val="1005"/>
        </w:numPr>
        <w:pStyle w:val="Compact"/>
      </w:pPr>
      <w:r>
        <w:rPr>
          <w:bCs/>
          <w:b/>
        </w:rPr>
        <w:t xml:space="preserve">Outbound Transport Distance (Estimated):</w:t>
      </w:r>
      <w:r>
        <w:t xml:space="preserve"> </w:t>
      </w:r>
      <w:r>
        <w:t xml:space="preserve">Approximately 20,000 km from China to a central distribution hub in Europe.</w:t>
      </w:r>
    </w:p>
    <w:p>
      <w:pPr>
        <w:numPr>
          <w:ilvl w:val="0"/>
          <w:numId w:val="1005"/>
        </w:numPr>
        <w:pStyle w:val="Compact"/>
      </w:pPr>
      <w:r>
        <w:rPr>
          <w:bCs/>
          <w:b/>
        </w:rPr>
        <w:t xml:space="preserve">Last-Mile Delivery Channel (Delivery Type):</w:t>
      </w:r>
      <w:r>
        <w:t xml:space="preserve"> </w:t>
      </w:r>
      <w:r>
        <w:t xml:space="preserve">Parcel Delivery (Direct to Consumer). This covers the final leg of the journey from a regional hub to the end-user.</w:t>
      </w:r>
    </w:p>
    <w:p>
      <w:pPr>
        <w:numPr>
          <w:ilvl w:val="0"/>
          <w:numId w:val="1005"/>
        </w:numPr>
        <w:pStyle w:val="Compact"/>
      </w:pPr>
      <w:r>
        <w:rPr>
          <w:bCs/>
          <w:b/>
        </w:rPr>
        <w:t xml:space="preserve">Last-Mile Delivery Distance (Estimated):</w:t>
      </w:r>
      <w:r>
        <w:t xml:space="preserve"> </w:t>
      </w:r>
      <w:r>
        <w:t xml:space="preserve">An average of 100 km per unit.</w:t>
      </w:r>
    </w:p>
    <w:bookmarkEnd w:id="27"/>
    <w:bookmarkStart w:id="28" w:name="use-phase-data"/>
    <w:p>
      <w:pPr>
        <w:pStyle w:val="Heading3"/>
      </w:pPr>
      <w:r>
        <w:t xml:space="preserve">2.4. Use Phase Data</w:t>
      </w:r>
    </w:p>
    <w:p>
      <w:pPr>
        <w:pStyle w:val="FirstParagraph"/>
      </w:pPr>
      <w:r>
        <w:t xml:space="preserve">The impact of the product during its functional life is crucial for a complete PCF.</w:t>
      </w:r>
    </w:p>
    <w:p>
      <w:pPr>
        <w:numPr>
          <w:ilvl w:val="0"/>
          <w:numId w:val="1006"/>
        </w:numPr>
        <w:pStyle w:val="Compact"/>
      </w:pPr>
      <w:r>
        <w:rPr>
          <w:bCs/>
          <w:b/>
        </w:rPr>
        <w:t xml:space="preserve">Product Lifespan (jhnsruyiym):</w:t>
      </w:r>
      <w:r>
        <w:t xml:space="preserve"> </w:t>
      </w:r>
      <w:r>
        <w:t xml:space="preserve">meovunkdft has an expected lifespan of 7 years.</w:t>
      </w:r>
    </w:p>
    <w:p>
      <w:pPr>
        <w:numPr>
          <w:ilvl w:val="0"/>
          <w:numId w:val="1006"/>
        </w:numPr>
        <w:pStyle w:val="Compact"/>
      </w:pPr>
      <w:r>
        <w:rPr>
          <w:bCs/>
          <w:b/>
        </w:rPr>
        <w:t xml:space="preserve">Energy Consumption in Use (kmolrvgzjq):</w:t>
      </w:r>
      <w:r>
        <w:t xml:space="preserve"> </w:t>
      </w:r>
      <w:r>
        <w:t xml:space="preserve">The product consumes an average of 25 kWh per year during its operational life.</w:t>
      </w:r>
    </w:p>
    <w:bookmarkEnd w:id="28"/>
    <w:bookmarkStart w:id="29" w:name="end-of-life-eol-scenarios"/>
    <w:p>
      <w:pPr>
        <w:pStyle w:val="Heading3"/>
      </w:pPr>
      <w:r>
        <w:t xml:space="preserve">2.5. End-of-Life (EoL) Scenarios</w:t>
      </w:r>
    </w:p>
    <w:p>
      <w:pPr>
        <w:pStyle w:val="FirstParagraph"/>
      </w:pPr>
      <w:r>
        <w:t xml:space="preserve">Circular economy principles are integrated into the EoL assessment.</w:t>
      </w:r>
    </w:p>
    <w:p>
      <w:pPr>
        <w:numPr>
          <w:ilvl w:val="0"/>
          <w:numId w:val="1007"/>
        </w:numPr>
        <w:pStyle w:val="Compact"/>
      </w:pPr>
      <w:r>
        <w:rPr>
          <w:bCs/>
          <w:b/>
        </w:rPr>
        <w:t xml:space="preserve">Recyclability Percentage (szguosnpzx):</w:t>
      </w:r>
      <w:r>
        <w:t xml:space="preserve"> </w:t>
      </w:r>
      <w:r>
        <w:t xml:space="preserve">75% of meovunkdft\'s materials are designed to be recyclable at the end of its life.</w:t>
      </w:r>
    </w:p>
    <w:p>
      <w:pPr>
        <w:numPr>
          <w:ilvl w:val="0"/>
          <w:numId w:val="1007"/>
        </w:numPr>
        <w:pStyle w:val="Compact"/>
      </w:pPr>
      <w:r>
        <w:rPr>
          <w:bCs/>
          <w:b/>
        </w:rPr>
        <w:t xml:space="preserve">Circular/Take-back Programs (eenrndomsk):</w:t>
      </w:r>
      <w:r>
        <w:t xml:space="preserve"> </w:t>
      </w:r>
      <w:r>
        <w:t xml:space="preserve">koktvxzded operates a company-operated take-back and recycling program, facilitating the collection and proper processing of end-of-life products, enhancing material circularity.</w:t>
      </w:r>
    </w:p>
    <w:p>
      <w:r>
        <w:pict>
          <v:rect style="width:0;height:1.5pt" o:hralign="center" o:hrstd="t" o:hr="t"/>
        </w:pict>
      </w:r>
    </w:p>
    <w:bookmarkEnd w:id="29"/>
    <w:bookmarkEnd w:id="30"/>
    <w:bookmarkStart w:id="42" w:name="Xe27d44f1326cecb35a457cbb5cec7f37fd7f43c"/>
    <w:p>
      <w:pPr>
        <w:pStyle w:val="Heading2"/>
      </w:pPr>
      <w:r>
        <w:t xml:space="preserve">3. Emission Calculations and Scope Categorization</w:t>
      </w:r>
    </w:p>
    <w:p>
      <w:pPr>
        <w:pStyle w:val="FirstParagraph"/>
      </w:pPr>
      <w:r>
        <w:t xml:space="preserve">The total carbon footprint of meovunkdft is calculated by multiplying activity data (e.g., material quantity, energy consumption, transport distance) by relevant emission factors. Emissions are categorized according to the GHG Protocol\'s Scope 1, 2, and 3.</w:t>
      </w:r>
    </w:p>
    <w:bookmarkStart w:id="31" w:name="X1dca22ca2e8e7e49621e4ee12a118d97fd9c65b"/>
    <w:p>
      <w:pPr>
        <w:pStyle w:val="Heading3"/>
      </w:pPr>
      <w:r>
        <w:t xml:space="preserve">3.1. Assumed Emission Factors (Industry Standards - Ecoinvent/DEFRA equivalents)</w:t>
      </w:r>
    </w:p>
    <w:p>
      <w:pPr>
        <w:pStyle w:val="FirstParagraph"/>
      </w:pPr>
      <w:r>
        <w:t xml:space="preserve">For calculations not directly provided in the BOM, industry-standard emission factors are utilized. These are illustrative values reflecting common practices and are based on widely accepted databases like Ecoinvent or DEFRA for primary data where applicable. Specific factors from the BOM (dxylmvqt) are used directly for material calculations. The total product weight is assumed to be 1.5 kg (sum of BOM materials rounded up to account for assembly, etc.).</w:t>
      </w:r>
    </w:p>
    <w:p>
      <w:pPr>
        <w:numPr>
          <w:ilvl w:val="0"/>
          <w:numId w:val="1008"/>
        </w:numPr>
        <w:pStyle w:val="Compact"/>
      </w:pPr>
      <w:r>
        <w:rPr>
          <w:bCs/>
          <w:b/>
        </w:rPr>
        <w:t xml:space="preserve">Electricity Grid Mix (China, non-renewable portion):</w:t>
      </w:r>
      <w:r>
        <w:t xml:space="preserve"> </w:t>
      </w:r>
      <w:r>
        <w:t xml:space="preserve">0.6093 kgCO2e/kWh (IEA 2021 data for China\'s AEF)</w:t>
      </w:r>
    </w:p>
    <w:p>
      <w:pPr>
        <w:numPr>
          <w:ilvl w:val="0"/>
          <w:numId w:val="1008"/>
        </w:numPr>
        <w:pStyle w:val="Compact"/>
      </w:pPr>
      <w:r>
        <w:rPr>
          <w:bCs/>
          <w:b/>
        </w:rPr>
        <w:t xml:space="preserve">Renewable Electricity (residual emissions):</w:t>
      </w:r>
      <w:r>
        <w:t xml:space="preserve"> </w:t>
      </w:r>
      <w:r>
        <w:t xml:space="preserve">0.02 kgCO2e/kWh (illustrative for non-zero upstream emissions of renewable generation)</w:t>
      </w:r>
    </w:p>
    <w:p>
      <w:pPr>
        <w:numPr>
          <w:ilvl w:val="0"/>
          <w:numId w:val="1008"/>
        </w:numPr>
        <w:pStyle w:val="Compact"/>
      </w:pPr>
      <w:r>
        <w:rPr>
          <w:bCs/>
          <w:b/>
        </w:rPr>
        <w:t xml:space="preserve">Road Freight (heavy duty truck):</w:t>
      </w:r>
      <w:r>
        <w:t xml:space="preserve"> </w:t>
      </w:r>
      <w:r>
        <w:t xml:space="preserve">0.1 kgCO2e/tkm (converted from 0.41 lbs CO2e per Ton-Mile, similar to 50-150g/tkm range)</w:t>
      </w:r>
    </w:p>
    <w:p>
      <w:pPr>
        <w:numPr>
          <w:ilvl w:val="0"/>
          <w:numId w:val="1008"/>
        </w:numPr>
        <w:pStyle w:val="Compact"/>
      </w:pPr>
      <w:r>
        <w:rPr>
          <w:bCs/>
          <w:b/>
        </w:rPr>
        <w:t xml:space="preserve">Sea Freight (container ship):</w:t>
      </w:r>
      <w:r>
        <w:t xml:space="preserve"> </w:t>
      </w:r>
      <w:r>
        <w:t xml:space="preserve">0.016 kgCO2e/tkm (DEFRA 2025 reports 16.12 gCO2e/tkm well-to-wake)</w:t>
      </w:r>
    </w:p>
    <w:p>
      <w:pPr>
        <w:numPr>
          <w:ilvl w:val="0"/>
          <w:numId w:val="1008"/>
        </w:numPr>
        <w:pStyle w:val="Compact"/>
      </w:pPr>
      <w:r>
        <w:rPr>
          <w:bCs/>
          <w:b/>
        </w:rPr>
        <w:t xml:space="preserve">Parcel Delivery (last mile):</w:t>
      </w:r>
      <w:r>
        <w:t xml:space="preserve"> </w:t>
      </w:r>
      <w:r>
        <w:t xml:space="preserve">0.5 kgCO2e/parcel (illustrative, reflecting average impact per delivery)</w:t>
      </w:r>
    </w:p>
    <w:p>
      <w:pPr>
        <w:numPr>
          <w:ilvl w:val="0"/>
          <w:numId w:val="1008"/>
        </w:numPr>
        <w:pStyle w:val="Compact"/>
      </w:pPr>
      <w:r>
        <w:rPr>
          <w:bCs/>
          <w:b/>
        </w:rPr>
        <w:t xml:space="preserve">Waste to Landfill (mixed):</w:t>
      </w:r>
      <w:r>
        <w:t xml:space="preserve"> </w:t>
      </w:r>
      <w:r>
        <w:t xml:space="preserve">0.1 kgCO2e/kg (illustrative, aligning with ranges for conventional landfilling of mixed waste, converting 680 kgCO2e/short ton to approx 0.75 kgCO2e/kg for mixed recyclables, but using a more conservative 0.1 kgCO2e/kg for general mixed waste given varying factors for metals and other mixed waste)</w:t>
      </w:r>
    </w:p>
    <w:p>
      <w:pPr>
        <w:numPr>
          <w:ilvl w:val="0"/>
          <w:numId w:val="1008"/>
        </w:numPr>
        <w:pStyle w:val="Compact"/>
      </w:pPr>
      <w:r>
        <w:rPr>
          <w:bCs/>
          <w:b/>
        </w:rPr>
        <w:t xml:space="preserve">Avoided Emissions from Recycling (mixed materials):</w:t>
      </w:r>
      <w:r>
        <w:t xml:space="preserve"> </w:t>
      </w:r>
      <w:r>
        <w:t xml:space="preserve">1.5 kgCO2e/kg (illustrative, reflecting significant savings from displacing virgin material production)</w:t>
      </w:r>
    </w:p>
    <w:bookmarkEnd w:id="31"/>
    <w:bookmarkStart w:id="40" w:name="X81760243287c3aa9c42ecc0fdb539f9f127f2aa"/>
    <w:p>
      <w:pPr>
        <w:pStyle w:val="Heading3"/>
      </w:pPr>
      <w:r>
        <w:t xml:space="preserve">3.2. Detailed Emissions Breakdown by Lifecycle Stage and GHG Scope</w:t>
      </w:r>
    </w:p>
    <w:bookmarkStart w:id="32" w:name="Xa5e05c0e793b2e3b8927cb1b228e81f97f2094b"/>
    <w:p>
      <w:pPr>
        <w:pStyle w:val="Heading4"/>
      </w:pPr>
      <w:r>
        <w:t xml:space="preserve">Scope 1 Emissions (Direct Emissions from Owned or Controlled Sources)</w:t>
      </w:r>
    </w:p>
    <w:p>
      <w:pPr>
        <w:pStyle w:val="FirstParagraph"/>
      </w:pPr>
      <w:r>
        <w:t xml:space="preserve">Given the "factory_gate" system boundary and the nature of the product, direct operational emissions from the production facility (e.g., fuel combustion for on-site machinery) are assumed to be negligible or covered by general facility energy consumption for this product-level analysis, based on provided parameters. If koktvxzded operates its own vehicles for factory operations, these would be included here.</w:t>
      </w:r>
    </w:p>
    <w:p>
      <w:pPr>
        <w:numPr>
          <w:ilvl w:val="0"/>
          <w:numId w:val="1009"/>
        </w:numPr>
        <w:pStyle w:val="Compact"/>
      </w:pPr>
      <w:r>
        <w:rPr>
          <w:bCs/>
          <w:b/>
        </w:rPr>
        <w:t xml:space="preserve">Direct Combustion (e.g., factory heating, owned vehicles):</w:t>
      </w:r>
      <w:r>
        <w:t xml:space="preserve"> </w:t>
      </w:r>
      <w:r>
        <w:t xml:space="preserve">Assumed negligible or captured within Scope 2/3 for this product-level analysis based on provided parameters.</w:t>
      </w:r>
    </w:p>
    <w:p>
      <w:pPr>
        <w:numPr>
          <w:ilvl w:val="0"/>
          <w:numId w:val="1009"/>
        </w:numPr>
        <w:pStyle w:val="Compact"/>
      </w:pPr>
      <w:r>
        <w:rPr>
          <w:bCs/>
          <w:b/>
        </w:rPr>
        <w:t xml:space="preserve">Total Estimated Scope 1 Emissions:</w:t>
      </w:r>
      <w:r>
        <w:t xml:space="preserve"> </w:t>
      </w:r>
      <w:r>
        <w:t xml:space="preserve">0.0 kgCO2e</w:t>
      </w:r>
    </w:p>
    <w:bookmarkEnd w:id="32"/>
    <w:bookmarkStart w:id="33" w:name="X4d4e0824e759e22b1001f2f47a068c5d2dbcb00"/>
    <w:p>
      <w:pPr>
        <w:pStyle w:val="Heading4"/>
      </w:pPr>
      <w:r>
        <w:t xml:space="preserve">Scope 2 Emissions (Indirect Emissions from the Generation of Purchased Energy)</w:t>
      </w:r>
    </w:p>
    <w:p>
      <w:pPr>
        <w:pStyle w:val="FirstParagraph"/>
      </w:pPr>
      <w:r>
        <w:t xml:space="preserve">These emissions result from the electricity consumed at the manufacturing facility in China.</w:t>
      </w:r>
    </w:p>
    <w:p>
      <w:pPr>
        <w:numPr>
          <w:ilvl w:val="0"/>
          <w:numId w:val="1010"/>
        </w:numPr>
        <w:pStyle w:val="Compact"/>
      </w:pPr>
      <w:r>
        <w:rPr>
          <w:bCs/>
          <w:b/>
        </w:rPr>
        <w:t xml:space="preserve">Total Energy Intensity (mzlpelwlzp):</w:t>
      </w:r>
      <w:r>
        <w:t xml:space="preserve"> </w:t>
      </w:r>
      <w:r>
        <w:t xml:space="preserve">15 kWh/unit</w:t>
      </w:r>
    </w:p>
    <w:p>
      <w:pPr>
        <w:numPr>
          <w:ilvl w:val="0"/>
          <w:numId w:val="1010"/>
        </w:numPr>
        <w:pStyle w:val="Compact"/>
      </w:pPr>
      <w:r>
        <w:rPr>
          <w:bCs/>
          <w:b/>
        </w:rPr>
        <w:t xml:space="preserve">Renewable Energy Usage (ediitgslfj):</w:t>
      </w:r>
      <w:r>
        <w:t xml:space="preserve"> </w:t>
      </w:r>
      <w:r>
        <w:t xml:space="preserve">70%</w:t>
      </w:r>
    </w:p>
    <w:p>
      <w:pPr>
        <w:numPr>
          <w:ilvl w:val="0"/>
          <w:numId w:val="1010"/>
        </w:numPr>
        <w:pStyle w:val="Compact"/>
      </w:pPr>
      <w:r>
        <w:rPr>
          <w:bCs/>
          <w:b/>
        </w:rPr>
        <w:t xml:space="preserve">Non-Renewable Energy Portion:</w:t>
      </w:r>
      <w:r>
        <w:t xml:space="preserve"> </w:t>
      </w:r>
      <w:r>
        <w:t xml:space="preserve">15 kWh/unit * (1 - 0.70) = 4.5 kWh/unit</w:t>
      </w:r>
    </w:p>
    <w:p>
      <w:pPr>
        <w:numPr>
          <w:ilvl w:val="0"/>
          <w:numId w:val="1010"/>
        </w:numPr>
        <w:pStyle w:val="Compact"/>
      </w:pPr>
      <w:r>
        <w:rPr>
          <w:bCs/>
          <w:b/>
        </w:rPr>
        <w:t xml:space="preserve">Renewable Energy Portion:</w:t>
      </w:r>
      <w:r>
        <w:t xml:space="preserve"> </w:t>
      </w:r>
      <w:r>
        <w:t xml:space="preserve">15 kWh/unit * 0.70 = 10.5 kWh/unit</w:t>
      </w:r>
    </w:p>
    <w:p>
      <w:pPr>
        <w:numPr>
          <w:ilvl w:val="0"/>
          <w:numId w:val="1010"/>
        </w:numPr>
        <w:pStyle w:val="Compact"/>
      </w:pPr>
      <w:r>
        <w:rPr>
          <w:bCs/>
          <w:b/>
        </w:rPr>
        <w:t xml:space="preserve">Emissions from Non-Renewable Electricity:</w:t>
      </w:r>
      <w:r>
        <w:t xml:space="preserve"> </w:t>
      </w:r>
      <w:r>
        <w:t xml:space="preserve">4.5 kWh/unit * 0.6093 kgCO2e/kWh = 2.74185 kgCO2e/unit</w:t>
      </w:r>
    </w:p>
    <w:p>
      <w:pPr>
        <w:numPr>
          <w:ilvl w:val="0"/>
          <w:numId w:val="1010"/>
        </w:numPr>
        <w:pStyle w:val="Compact"/>
      </w:pPr>
      <w:r>
        <w:rPr>
          <w:bCs/>
          <w:b/>
        </w:rPr>
        <w:t xml:space="preserve">Emissions from Renewable Electricity (residual):</w:t>
      </w:r>
      <w:r>
        <w:t xml:space="preserve"> </w:t>
      </w:r>
      <w:r>
        <w:t xml:space="preserve">10.5 kWh/unit * 0.02 kgCO2e/kWh = 0.21 kgCO2e/unit</w:t>
      </w:r>
    </w:p>
    <w:p>
      <w:pPr>
        <w:numPr>
          <w:ilvl w:val="0"/>
          <w:numId w:val="1010"/>
        </w:numPr>
        <w:pStyle w:val="Compact"/>
      </w:pPr>
      <w:r>
        <w:rPr>
          <w:bCs/>
          <w:b/>
        </w:rPr>
        <w:t xml:space="preserve">Total Estimated Scope 2 Emissions:</w:t>
      </w:r>
      <w:r>
        <w:t xml:space="preserve"> </w:t>
      </w:r>
      <w:r>
        <w:t xml:space="preserve">2.74185 + 0.21 = 2.95185 kgCO2e/unit</w:t>
      </w:r>
    </w:p>
    <w:bookmarkEnd w:id="33"/>
    <w:bookmarkStart w:id="39" w:name="Xfba9a0cf1430a71c12d1f705b4bd26e86bf0ddd"/>
    <w:p>
      <w:pPr>
        <w:pStyle w:val="Heading4"/>
      </w:pPr>
      <w:r>
        <w:t xml:space="preserve">Scope 3 Emissions (All Other Indirect Emissions in the Value Chain)</w:t>
      </w:r>
    </w:p>
    <w:p>
      <w:pPr>
        <w:pStyle w:val="FirstParagraph"/>
      </w:pPr>
      <w:r>
        <w:t xml:space="preserve">Scope 3 emissions represent the largest portion of the PCF for most products and are broken down by lifecycle stage to ensure at least 95% coverage.</w:t>
      </w:r>
    </w:p>
    <w:bookmarkStart w:id="34" w:name="X64e27b0c9a5a65684b24c20061334fde37a363d"/>
    <w:p>
      <w:pPr>
        <w:pStyle w:val="Heading5"/>
      </w:pPr>
      <w:r>
        <w:t xml:space="preserve">3.2.1. Upstream Emissions (Category 1: Purchased Goods and Services)</w:t>
      </w:r>
    </w:p>
    <w:p>
      <w:pPr>
        <w:pStyle w:val="FirstParagraph"/>
      </w:pPr>
      <w:r>
        <w:t xml:space="preserve">This includes the emissions from the extraction, production, and transportation of raw materials and components until they arrive at the manufacturing facility.</w:t>
      </w:r>
    </w:p>
    <w:p>
      <w:pPr>
        <w:numPr>
          <w:ilvl w:val="0"/>
          <w:numId w:val="1011"/>
        </w:numPr>
        <w:pStyle w:val="Compact"/>
      </w:pPr>
      <w:r>
        <w:rPr>
          <w:bCs/>
          <w:b/>
        </w:rPr>
        <w:t xml:space="preserve">Materials (from BOM dxylmvqt):</w:t>
      </w:r>
      <w:r>
        <w:t xml:space="preserve"> </w:t>
      </w:r>
      <w:r>
        <w:t xml:space="preserve">16.5199 kgCO2e/unit (as per BOM subtotal)</w:t>
      </w:r>
    </w:p>
    <w:p>
      <w:pPr>
        <w:numPr>
          <w:ilvl w:val="0"/>
          <w:numId w:val="1011"/>
        </w:numPr>
        <w:pStyle w:val="Compact"/>
      </w:pPr>
      <w:r>
        <w:rPr>
          <w:bCs/>
          <w:b/>
        </w:rPr>
        <w:t xml:space="preserve">Inbound Transport (Raw Materials/Components - Europe to China):</w:t>
      </w:r>
    </w:p>
    <w:p>
      <w:pPr>
        <w:numPr>
          <w:ilvl w:val="1"/>
          <w:numId w:val="1012"/>
        </w:numPr>
        <w:pStyle w:val="Compact"/>
      </w:pPr>
      <w:r>
        <w:t xml:space="preserve">Assumed average weight of components needing long-haul transport: 1.0 kg/unit (simplification for calculation, assuming bulk of materials are transported)</w:t>
      </w:r>
    </w:p>
    <w:p>
      <w:pPr>
        <w:numPr>
          <w:ilvl w:val="1"/>
          <w:numId w:val="1012"/>
        </w:numPr>
        <w:pStyle w:val="Compact"/>
      </w:pPr>
      <w:r>
        <w:t xml:space="preserve">Transport Mode: Road Freight (heavy duty truck)</w:t>
      </w:r>
    </w:p>
    <w:p>
      <w:pPr>
        <w:numPr>
          <w:ilvl w:val="1"/>
          <w:numId w:val="1012"/>
        </w:numPr>
        <w:pStyle w:val="Compact"/>
      </w:pPr>
      <w:r>
        <w:t xml:space="preserve">Distance: 1500 km (iliwstdytu)</w:t>
      </w:r>
    </w:p>
    <w:p>
      <w:pPr>
        <w:numPr>
          <w:ilvl w:val="1"/>
          <w:numId w:val="1012"/>
        </w:numPr>
        <w:pStyle w:val="Compact"/>
      </w:pPr>
      <w:r>
        <w:t xml:space="preserve">Emission Factor: 0.1 kgCO2e/tkm</w:t>
      </w:r>
    </w:p>
    <w:p>
      <w:pPr>
        <w:numPr>
          <w:ilvl w:val="1"/>
          <w:numId w:val="1012"/>
        </w:numPr>
        <w:pStyle w:val="Compact"/>
      </w:pPr>
      <w:r>
        <w:t xml:space="preserve">Calculation: 1.0 kg * 1500 km * (0.1 kgCO2e / 1000 kg/t) = 0.15 kgCO2e/unit</w:t>
      </w:r>
    </w:p>
    <w:p>
      <w:pPr>
        <w:numPr>
          <w:ilvl w:val="0"/>
          <w:numId w:val="1011"/>
        </w:numPr>
        <w:pStyle w:val="Compact"/>
      </w:pPr>
      <w:r>
        <w:rPr>
          <w:bCs/>
          <w:b/>
        </w:rPr>
        <w:t xml:space="preserve">Total Estimated Upstream Emissions (Scope 3, Category 1 &amp; 4):</w:t>
      </w:r>
      <w:r>
        <w:t xml:space="preserve"> </w:t>
      </w:r>
      <w:r>
        <w:t xml:space="preserve">16.5199 kgCO2e (Materials) + 0.15 kgCO2e (Inbound Transport) = 16.6699 kgCO2e/unit</w:t>
      </w:r>
    </w:p>
    <w:bookmarkEnd w:id="34"/>
    <w:bookmarkStart w:id="38" w:name="X74a0bd272bce999cd3e0f9b37470a18a7072496"/>
    <w:p>
      <w:pPr>
        <w:pStyle w:val="Heading5"/>
      </w:pPr>
      <w:r>
        <w:t xml:space="preserve">3.2.2. Downstream Emissions (Categories 4, 9, 11, 12)</w:t>
      </w:r>
    </w:p>
    <w:p>
      <w:pPr>
        <w:pStyle w:val="FirstParagraph"/>
      </w:pPr>
      <w:r>
        <w:t xml:space="preserve">These emissions occur after the product leaves the factory gate, including distribution, use, and end-of-life.</w:t>
      </w:r>
    </w:p>
    <w:bookmarkStart w:id="35" w:name="transport-distribution-category-4-9"/>
    <w:p>
      <w:pPr>
        <w:pStyle w:val="Heading6"/>
      </w:pPr>
      <w:r>
        <w:t xml:space="preserve">3.2.2.1. Transport &amp; Distribution (Category 4 &amp; 9)</w:t>
      </w:r>
    </w:p>
    <w:p>
      <w:pPr>
        <w:numPr>
          <w:ilvl w:val="0"/>
          <w:numId w:val="1013"/>
        </w:numPr>
        <w:pStyle w:val="Compact"/>
      </w:pPr>
      <w:r>
        <w:rPr>
          <w:bCs/>
          <w:b/>
        </w:rPr>
        <w:t xml:space="preserve">Outbound Transport (Finished Product - China to Europe):</w:t>
      </w:r>
    </w:p>
    <w:p>
      <w:pPr>
        <w:numPr>
          <w:ilvl w:val="1"/>
          <w:numId w:val="1014"/>
        </w:numPr>
        <w:pStyle w:val="Compact"/>
      </w:pPr>
      <w:r>
        <w:t xml:space="preserve">Assumed product weight: 1.5 kg/unit (total weight from BOM plus assembly)</w:t>
      </w:r>
    </w:p>
    <w:p>
      <w:pPr>
        <w:numPr>
          <w:ilvl w:val="1"/>
          <w:numId w:val="1014"/>
        </w:numPr>
        <w:pStyle w:val="Compact"/>
      </w:pPr>
      <w:r>
        <w:t xml:space="preserve">Transport Mode: Sea Freight (container ship)</w:t>
      </w:r>
    </w:p>
    <w:p>
      <w:pPr>
        <w:numPr>
          <w:ilvl w:val="1"/>
          <w:numId w:val="1014"/>
        </w:numPr>
        <w:pStyle w:val="Compact"/>
      </w:pPr>
      <w:r>
        <w:t xml:space="preserve">Distance: 20,000 km (estimated)</w:t>
      </w:r>
    </w:p>
    <w:p>
      <w:pPr>
        <w:numPr>
          <w:ilvl w:val="1"/>
          <w:numId w:val="1014"/>
        </w:numPr>
        <w:pStyle w:val="Compact"/>
      </w:pPr>
      <w:r>
        <w:t xml:space="preserve">Emission Factor: 0.016 kgCO2e/tkm</w:t>
      </w:r>
    </w:p>
    <w:p>
      <w:pPr>
        <w:numPr>
          <w:ilvl w:val="1"/>
          <w:numId w:val="1014"/>
        </w:numPr>
        <w:pStyle w:val="Compact"/>
      </w:pPr>
      <w:r>
        <w:t xml:space="preserve">Calculation: 1.5 kg * 20,000 km * (0.016 kgCO2e / 1000 kg/t) = 0.48 kgCO2e/unit</w:t>
      </w:r>
    </w:p>
    <w:p>
      <w:pPr>
        <w:numPr>
          <w:ilvl w:val="0"/>
          <w:numId w:val="1013"/>
        </w:numPr>
        <w:pStyle w:val="Compact"/>
      </w:pPr>
      <w:r>
        <w:rPr>
          <w:bCs/>
          <w:b/>
        </w:rPr>
        <w:t xml:space="preserve">Last-Mile Delivery (Delivery Type - Parcel Delivery):</w:t>
      </w:r>
    </w:p>
    <w:p>
      <w:pPr>
        <w:numPr>
          <w:ilvl w:val="1"/>
          <w:numId w:val="1015"/>
        </w:numPr>
        <w:pStyle w:val="Compact"/>
      </w:pPr>
      <w:r>
        <w:t xml:space="preserve">Transport Mode: Parcel Delivery</w:t>
      </w:r>
    </w:p>
    <w:p>
      <w:pPr>
        <w:numPr>
          <w:ilvl w:val="1"/>
          <w:numId w:val="1015"/>
        </w:numPr>
        <w:pStyle w:val="Compact"/>
      </w:pPr>
      <w:r>
        <w:t xml:space="preserve">Distance: 100 km (average, estimated)</w:t>
      </w:r>
    </w:p>
    <w:p>
      <w:pPr>
        <w:numPr>
          <w:ilvl w:val="1"/>
          <w:numId w:val="1015"/>
        </w:numPr>
        <w:pStyle w:val="Compact"/>
      </w:pPr>
      <w:r>
        <w:t xml:space="preserve">Emission Factor: 0.5 kgCO2e/parcel (already accounts for full impact per delivery)</w:t>
      </w:r>
    </w:p>
    <w:p>
      <w:pPr>
        <w:numPr>
          <w:ilvl w:val="1"/>
          <w:numId w:val="1015"/>
        </w:numPr>
        <w:pStyle w:val="Compact"/>
      </w:pPr>
      <w:r>
        <w:t xml:space="preserve">Calculation: 1 unit * 0.5 kgCO2e/parcel = 0.50 kgCO2e/unit</w:t>
      </w:r>
    </w:p>
    <w:p>
      <w:pPr>
        <w:numPr>
          <w:ilvl w:val="0"/>
          <w:numId w:val="1013"/>
        </w:numPr>
        <w:pStyle w:val="Compact"/>
      </w:pPr>
      <w:r>
        <w:rPr>
          <w:bCs/>
          <w:b/>
        </w:rPr>
        <w:t xml:space="preserve">Total Estimated Transport &amp; Distribution Emissions:</w:t>
      </w:r>
      <w:r>
        <w:t xml:space="preserve"> </w:t>
      </w:r>
      <w:r>
        <w:t xml:space="preserve">0.48 kgCO2e (Outbound) + 0.50 kgCO2e (Last-Mile) = 0.98 kgCO2e/unit</w:t>
      </w:r>
    </w:p>
    <w:bookmarkEnd w:id="35"/>
    <w:bookmarkStart w:id="36" w:name="Xe7eb8191c337170a207542649b174a3140bfeb4"/>
    <w:p>
      <w:pPr>
        <w:pStyle w:val="Heading6"/>
      </w:pPr>
      <w:r>
        <w:t xml:space="preserve">3.2.2.2. Use Phase Emissions (Category 11: Use of Sold Products)</w:t>
      </w:r>
    </w:p>
    <w:p>
      <w:pPr>
        <w:numPr>
          <w:ilvl w:val="0"/>
          <w:numId w:val="1016"/>
        </w:numPr>
        <w:pStyle w:val="Compact"/>
      </w:pPr>
      <w:r>
        <w:rPr>
          <w:bCs/>
          <w:b/>
        </w:rPr>
        <w:t xml:space="preserve">Product Lifespan (jhnsruyiym):</w:t>
      </w:r>
      <w:r>
        <w:t xml:space="preserve"> </w:t>
      </w:r>
      <w:r>
        <w:t xml:space="preserve">7 years</w:t>
      </w:r>
    </w:p>
    <w:p>
      <w:pPr>
        <w:numPr>
          <w:ilvl w:val="0"/>
          <w:numId w:val="1016"/>
        </w:numPr>
        <w:pStyle w:val="Compact"/>
      </w:pPr>
      <w:r>
        <w:rPr>
          <w:bCs/>
          <w:b/>
        </w:rPr>
        <w:t xml:space="preserve">Energy Consumption in Use (kmolrvgzjq):</w:t>
      </w:r>
      <w:r>
        <w:t xml:space="preserve"> </w:t>
      </w:r>
      <w:r>
        <w:t xml:space="preserve">25 kWh/year</w:t>
      </w:r>
    </w:p>
    <w:p>
      <w:pPr>
        <w:numPr>
          <w:ilvl w:val="0"/>
          <w:numId w:val="1016"/>
        </w:numPr>
        <w:pStyle w:val="Compact"/>
      </w:pPr>
      <w:r>
        <w:rPr>
          <w:bCs/>
          <w:b/>
        </w:rPr>
        <w:t xml:space="preserve">Total Energy Consumption over Lifespan:</w:t>
      </w:r>
      <w:r>
        <w:t xml:space="preserve"> </w:t>
      </w:r>
      <w:r>
        <w:t xml:space="preserve">25 kWh/year * 7 years = 175 kWh/unit</w:t>
      </w:r>
    </w:p>
    <w:p>
      <w:pPr>
        <w:numPr>
          <w:ilvl w:val="0"/>
          <w:numId w:val="1016"/>
        </w:numPr>
        <w:pStyle w:val="Compact"/>
      </w:pPr>
      <w:r>
        <w:rPr>
          <w:bCs/>
          <w:b/>
        </w:rPr>
        <w:t xml:space="preserve">Assumed Electricity Grid Mix for Use Phase (Europe average):</w:t>
      </w:r>
      <w:r>
        <w:t xml:space="preserve"> </w:t>
      </w:r>
      <w:r>
        <w:t xml:space="preserve">0.25 kgCO2e/kWh (a common average for European grid)</w:t>
      </w:r>
    </w:p>
    <w:p>
      <w:pPr>
        <w:numPr>
          <w:ilvl w:val="0"/>
          <w:numId w:val="1016"/>
        </w:numPr>
        <w:pStyle w:val="Compact"/>
      </w:pPr>
      <w:r>
        <w:rPr>
          <w:bCs/>
          <w:b/>
        </w:rPr>
        <w:t xml:space="preserve">Calculation:</w:t>
      </w:r>
      <w:r>
        <w:t xml:space="preserve"> </w:t>
      </w:r>
      <w:r>
        <w:t xml:space="preserve">175 kWh/unit * 0.25 kgCO2e/kWh = 43.75 kgCO2e/unit</w:t>
      </w:r>
    </w:p>
    <w:p>
      <w:pPr>
        <w:numPr>
          <w:ilvl w:val="0"/>
          <w:numId w:val="1016"/>
        </w:numPr>
        <w:pStyle w:val="Compact"/>
      </w:pPr>
      <w:r>
        <w:rPr>
          <w:bCs/>
          <w:b/>
        </w:rPr>
        <w:t xml:space="preserve">Total Estimated Use Phase Emissions:</w:t>
      </w:r>
      <w:r>
        <w:t xml:space="preserve"> </w:t>
      </w:r>
      <w:r>
        <w:t xml:space="preserve">43.75 kgCO2e/unit</w:t>
      </w:r>
    </w:p>
    <w:bookmarkEnd w:id="36"/>
    <w:bookmarkStart w:id="37" w:name="X66b3a44fd834427f43e1b2cba979c11b66888e8"/>
    <w:p>
      <w:pPr>
        <w:pStyle w:val="Heading6"/>
      </w:pPr>
      <w:r>
        <w:t xml:space="preserve">3.2.2.3. End-of-Life (EoL) Emissions (Category 12: End-of-Life Treatment of Sold Products)</w:t>
      </w:r>
    </w:p>
    <w:p>
      <w:pPr>
        <w:pStyle w:val="FirstParagraph"/>
      </w:pPr>
      <w:r>
        <w:t xml:space="preserve">This considers the emissions and potential avoided emissions from recycling and disposal.</w:t>
      </w:r>
    </w:p>
    <w:p>
      <w:pPr>
        <w:numPr>
          <w:ilvl w:val="0"/>
          <w:numId w:val="1017"/>
        </w:numPr>
        <w:pStyle w:val="Compact"/>
      </w:pPr>
      <w:r>
        <w:rPr>
          <w:bCs/>
          <w:b/>
        </w:rPr>
        <w:t xml:space="preserve">Product Weight (total):</w:t>
      </w:r>
      <w:r>
        <w:t xml:space="preserve"> </w:t>
      </w:r>
      <w:r>
        <w:t xml:space="preserve">1.5 kg/unit</w:t>
      </w:r>
    </w:p>
    <w:p>
      <w:pPr>
        <w:numPr>
          <w:ilvl w:val="0"/>
          <w:numId w:val="1017"/>
        </w:numPr>
        <w:pStyle w:val="Compact"/>
      </w:pPr>
      <w:r>
        <w:rPr>
          <w:bCs/>
          <w:b/>
        </w:rPr>
        <w:t xml:space="preserve">Recyclability Percentage (szguosnpzx):</w:t>
      </w:r>
      <w:r>
        <w:t xml:space="preserve"> </w:t>
      </w:r>
      <w:r>
        <w:t xml:space="preserve">75%</w:t>
      </w:r>
    </w:p>
    <w:p>
      <w:pPr>
        <w:numPr>
          <w:ilvl w:val="0"/>
          <w:numId w:val="1017"/>
        </w:numPr>
        <w:pStyle w:val="Compact"/>
      </w:pPr>
      <w:r>
        <w:rPr>
          <w:bCs/>
          <w:b/>
        </w:rPr>
        <w:t xml:space="preserve">Weight Recycled:</w:t>
      </w:r>
      <w:r>
        <w:t xml:space="preserve"> </w:t>
      </w:r>
      <w:r>
        <w:t xml:space="preserve">1.5 kg * 0.75 = 1.125 kg</w:t>
      </w:r>
    </w:p>
    <w:p>
      <w:pPr>
        <w:numPr>
          <w:ilvl w:val="0"/>
          <w:numId w:val="1017"/>
        </w:numPr>
        <w:pStyle w:val="Compact"/>
      </w:pPr>
      <w:r>
        <w:rPr>
          <w:bCs/>
          <w:b/>
        </w:rPr>
        <w:t xml:space="preserve">Weight Disposed (Landfill):</w:t>
      </w:r>
      <w:r>
        <w:t xml:space="preserve"> </w:t>
      </w:r>
      <w:r>
        <w:t xml:space="preserve">1.5 kg * (1 - 0.75) = 0.375 kg</w:t>
      </w:r>
    </w:p>
    <w:p>
      <w:pPr>
        <w:numPr>
          <w:ilvl w:val="0"/>
          <w:numId w:val="1017"/>
        </w:numPr>
        <w:pStyle w:val="Compact"/>
      </w:pPr>
      <w:r>
        <w:rPr>
          <w:bCs/>
          <w:b/>
        </w:rPr>
        <w:t xml:space="preserve">Emissions from Disposal (Landfill):</w:t>
      </w:r>
      <w:r>
        <w:t xml:space="preserve"> </w:t>
      </w:r>
      <w:r>
        <w:t xml:space="preserve">0.375 kg * 0.1 kgCO2e/kg = 0.0375 kgCO2e/unit</w:t>
      </w:r>
    </w:p>
    <w:p>
      <w:pPr>
        <w:numPr>
          <w:ilvl w:val="0"/>
          <w:numId w:val="1017"/>
        </w:numPr>
        <w:pStyle w:val="Compact"/>
      </w:pPr>
      <w:r>
        <w:rPr>
          <w:bCs/>
          <w:b/>
        </w:rPr>
        <w:t xml:space="preserve">Avoided Emissions from Recycling (eenrndomsk - Take-back Program):</w:t>
      </w:r>
    </w:p>
    <w:p>
      <w:pPr>
        <w:numPr>
          <w:ilvl w:val="1"/>
          <w:numId w:val="1018"/>
        </w:numPr>
        <w:pStyle w:val="Compact"/>
      </w:pPr>
      <w:r>
        <w:t xml:space="preserve">Assuming a conservative average avoided emission factor for recycling of 1.5 kgCO2e/kg for mixed materials due to the take-back program.</w:t>
      </w:r>
    </w:p>
    <w:p>
      <w:pPr>
        <w:numPr>
          <w:ilvl w:val="1"/>
          <w:numId w:val="1018"/>
        </w:numPr>
        <w:pStyle w:val="Compact"/>
      </w:pPr>
      <w:r>
        <w:t xml:space="preserve">Calculation: -1.125 kg * 1.5 kgCO2e/kg = -1.6875 kgCO2e/unit (credit for circularity)</w:t>
      </w:r>
    </w:p>
    <w:p>
      <w:pPr>
        <w:numPr>
          <w:ilvl w:val="0"/>
          <w:numId w:val="1017"/>
        </w:numPr>
        <w:pStyle w:val="Compact"/>
      </w:pPr>
      <w:r>
        <w:rPr>
          <w:bCs/>
          <w:b/>
        </w:rPr>
        <w:t xml:space="preserve">Total Estimated End-of-Life Emissions:</w:t>
      </w:r>
      <w:r>
        <w:t xml:space="preserve"> </w:t>
      </w:r>
      <w:r>
        <w:t xml:space="preserve">0.0375 kgCO2e - 1.6875 kgCO2e = -1.65 kgCO2e/unit (Net negative due to high recyclability and take-back program)</w:t>
      </w:r>
    </w:p>
    <w:bookmarkEnd w:id="37"/>
    <w:bookmarkEnd w:id="38"/>
    <w:bookmarkEnd w:id="39"/>
    <w:bookmarkEnd w:id="40"/>
    <w:bookmarkStart w:id="41" w:name="Xa7b63bb31fe343e7d304b6f57912dd5485b0c00"/>
    <w:p>
      <w:pPr>
        <w:pStyle w:val="Heading3"/>
      </w:pPr>
      <w:r>
        <w:t xml:space="preserve">3.3. Summary of Product Carbon Footprint (PCF)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(kg/unit)</w:t>
            </w:r>
          </w:p>
        </w:tc>
        <w:tc>
          <w:tcPr/>
          <w:p>
            <w:pPr>
              <w:pStyle w:val="Compact"/>
              <w:jc w:val="left"/>
            </w:pPr>
            <w:r>
              <w:t xml:space="preserve">Percentage (%)</w:t>
            </w:r>
          </w:p>
        </w:tc>
      </w:tr>
      <w:tr>
        <w:tc>
          <w:tcPr/>
          <w:p>
            <w:pPr>
              <w:pStyle w:val="Compact"/>
              <w:jc w:val="left"/>
            </w:pPr>
            <w:r>
              <w:t xml:space="preserve">Materials (Upstream)</w:t>
            </w:r>
          </w:p>
        </w:tc>
        <w:tc>
          <w:tcPr/>
          <w:p>
            <w:pPr>
              <w:pStyle w:val="Compact"/>
              <w:jc w:val="left"/>
            </w:pPr>
            <w:r>
              <w:t xml:space="preserve">Scope 3 (Category 1)</w:t>
            </w:r>
          </w:p>
        </w:tc>
        <w:tc>
          <w:tcPr/>
          <w:p>
            <w:pPr>
              <w:pStyle w:val="Compact"/>
              <w:jc w:val="left"/>
            </w:pPr>
            <w:r>
              <w:t xml:space="preserve">16.52</w:t>
            </w:r>
          </w:p>
        </w:tc>
        <w:tc>
          <w:tcPr/>
          <w:p>
            <w:pPr>
              <w:pStyle w:val="Compact"/>
              <w:jc w:val="left"/>
            </w:pPr>
            <w:r>
              <w:t xml:space="preserve">25.4%</w:t>
            </w:r>
          </w:p>
        </w:tc>
      </w:tr>
      <w:tr>
        <w:tc>
          <w:tcPr/>
          <w:p>
            <w:pPr>
              <w:pStyle w:val="Compact"/>
              <w:jc w:val="left"/>
            </w:pPr>
            <w:r>
              <w:t xml:space="preserve">Inbound Transport</w:t>
            </w:r>
          </w:p>
        </w:tc>
        <w:tc>
          <w:tcPr/>
          <w:p>
            <w:pPr>
              <w:pStyle w:val="Compact"/>
              <w:jc w:val="left"/>
            </w:pPr>
            <w:r>
              <w:t xml:space="preserve">Scope 3 (Category 4)</w:t>
            </w:r>
          </w:p>
        </w:tc>
        <w:tc>
          <w:tcPr/>
          <w:p>
            <w:pPr>
              <w:pStyle w:val="Compact"/>
              <w:jc w:val="left"/>
            </w:pPr>
            <w:r>
              <w:t xml:space="preserve">0.15</w:t>
            </w:r>
          </w:p>
        </w:tc>
        <w:tc>
          <w:tcPr/>
          <w:p>
            <w:pPr>
              <w:pStyle w:val="Compact"/>
              <w:jc w:val="left"/>
            </w:pPr>
            <w:r>
              <w:t xml:space="preserve">0.2%</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2.95</w:t>
            </w:r>
          </w:p>
        </w:tc>
        <w:tc>
          <w:tcPr/>
          <w:p>
            <w:pPr>
              <w:pStyle w:val="Compact"/>
              <w:jc w:val="left"/>
            </w:pPr>
            <w:r>
              <w:t xml:space="preserve">4.5%</w:t>
            </w:r>
          </w:p>
        </w:tc>
      </w:tr>
      <w:tr>
        <w:tc>
          <w:tcPr/>
          <w:p>
            <w:pPr>
              <w:pStyle w:val="Compact"/>
              <w:jc w:val="left"/>
            </w:pPr>
            <w:r>
              <w:t xml:space="preserve">Outbound Transport</w:t>
            </w:r>
          </w:p>
        </w:tc>
        <w:tc>
          <w:tcPr/>
          <w:p>
            <w:pPr>
              <w:pStyle w:val="Compact"/>
              <w:jc w:val="left"/>
            </w:pPr>
            <w:r>
              <w:t xml:space="preserve">Scope 3 (Category 4)</w:t>
            </w:r>
          </w:p>
        </w:tc>
        <w:tc>
          <w:tcPr/>
          <w:p>
            <w:pPr>
              <w:pStyle w:val="Compact"/>
              <w:jc w:val="left"/>
            </w:pPr>
            <w:r>
              <w:t xml:space="preserve">0.48</w:t>
            </w:r>
          </w:p>
        </w:tc>
        <w:tc>
          <w:tcPr/>
          <w:p>
            <w:pPr>
              <w:pStyle w:val="Compact"/>
              <w:jc w:val="left"/>
            </w:pPr>
            <w:r>
              <w:t xml:space="preserve">0.7%</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0.50</w:t>
            </w:r>
          </w:p>
        </w:tc>
        <w:tc>
          <w:tcPr/>
          <w:p>
            <w:pPr>
              <w:pStyle w:val="Compact"/>
              <w:jc w:val="left"/>
            </w:pPr>
            <w:r>
              <w:t xml:space="preserve">0.8%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43.75</w:t>
            </w:r>
          </w:p>
        </w:tc>
        <w:tc>
          <w:tcPr/>
          <w:p>
            <w:pPr>
              <w:pStyle w:val="Compact"/>
              <w:jc w:val="left"/>
            </w:pPr>
            <w:r>
              <w:t xml:space="preserve">67.3%</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-1.65</w:t>
            </w:r>
          </w:p>
        </w:tc>
        <w:tc>
          <w:tcPr/>
          <w:p>
            <w:pPr>
              <w:pStyle w:val="Compact"/>
              <w:jc w:val="left"/>
            </w:pPr>
            <w:r>
              <w:t xml:space="preserve">-2.5%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62.70</w:t>
            </w:r>
          </w:p>
        </w:tc>
        <w:tc>
          <w:tcPr/>
          <w:p>
            <w:pPr>
              <w:pStyle w:val="Compact"/>
              <w:jc w:val="left"/>
            </w:pPr>
            <w:r>
              <w:rPr>
                <w:bCs/>
                <w:b/>
              </w:rPr>
              <w:t xml:space="preserve">100.0%</w:t>
            </w:r>
          </w:p>
        </w:tc>
      </w:tr>
    </w:tbl>
    <w:p>
      <w:pPr>
        <w:pStyle w:val="BodyText"/>
      </w:pPr>
      <w:r>
        <w:rPr>
          <w:iCs/>
          <w:i/>
        </w:rPr>
        <w:t xml:space="preserve">Note: Percentages may not add up to exactly 100% due to rounding. Scope 1 emissions are assumed negligible for direct operational activities at the product level for this analysis. The 2026 GHG Protocol Scope 3 Standard requires accounting for at least 95% of total required Scope 3 emissions. This analysis provides comprehensive coverage across relevant categories.</w:t>
      </w:r>
    </w:p>
    <w:p>
      <w:r>
        <w:pict>
          <v:rect style="width:0;height:1.5pt" o:hralign="center" o:hrstd="t" o:hr="t"/>
        </w:pict>
      </w:r>
    </w:p>
    <w:bookmarkEnd w:id="41"/>
    <w:bookmarkEnd w:id="42"/>
    <w:bookmarkStart w:id="46" w:name="review-and-reporting"/>
    <w:p>
      <w:pPr>
        <w:pStyle w:val="Heading2"/>
      </w:pPr>
      <w:r>
        <w:t xml:space="preserve">4. Review and Reporting</w:t>
      </w:r>
    </w:p>
    <w:bookmarkStart w:id="43" w:name="identification-of-hotspots"/>
    <w:p>
      <w:pPr>
        <w:pStyle w:val="Heading3"/>
      </w:pPr>
      <w:r>
        <w:t xml:space="preserve">4.1. Identification of Hotspots</w:t>
      </w:r>
    </w:p>
    <w:p>
      <w:pPr>
        <w:pStyle w:val="FirstParagraph"/>
      </w:pPr>
      <w:r>
        <w:t xml:space="preserve">The analysis reveals the following key hotspots in the lifecycle of meovunkdft:</w:t>
      </w:r>
    </w:p>
    <w:p>
      <w:pPr>
        <w:numPr>
          <w:ilvl w:val="0"/>
          <w:numId w:val="1019"/>
        </w:numPr>
        <w:pStyle w:val="Compact"/>
      </w:pPr>
      <w:r>
        <w:rPr>
          <w:bCs/>
          <w:b/>
        </w:rPr>
        <w:t xml:space="preserve">Use Phase (67.3%):</w:t>
      </w:r>
      <w:r>
        <w:t xml:space="preserve"> </w:t>
      </w:r>
      <w:r>
        <w:t xml:space="preserve">The most significant contributor to the product\'s carbon footprint is the energy consumption during its 7-year operational lifespan. This highlights a critical area for design and energy efficiency improvements.</w:t>
      </w:r>
    </w:p>
    <w:p>
      <w:pPr>
        <w:numPr>
          <w:ilvl w:val="0"/>
          <w:numId w:val="1019"/>
        </w:numPr>
        <w:pStyle w:val="Compact"/>
      </w:pPr>
      <w:r>
        <w:rPr>
          <w:bCs/>
          <w:b/>
        </w:rPr>
        <w:t xml:space="preserve">Materials (25.4%):</w:t>
      </w:r>
      <w:r>
        <w:t xml:space="preserve"> </w:t>
      </w:r>
      <w:r>
        <w:t xml:space="preserve">The procurement and processing of raw materials, particularly the primary aluminum enclosure and PCBA, represent the second largest hotspot. Focus on low-carbon materials, increased recycled content, and efficient manufacturing processes is essential here.</w:t>
      </w:r>
    </w:p>
    <w:p>
      <w:pPr>
        <w:numPr>
          <w:ilvl w:val="0"/>
          <w:numId w:val="1019"/>
        </w:numPr>
        <w:pStyle w:val="Compact"/>
      </w:pPr>
      <w:r>
        <w:rPr>
          <w:bCs/>
          <w:b/>
        </w:rPr>
        <w:t xml:space="preserve">Production (4.5%):</w:t>
      </w:r>
      <w:r>
        <w:t xml:space="preserve"> </w:t>
      </w:r>
      <w:r>
        <w:t xml:space="preserve">While significantly mitigated by 70% renewable energy usage, the remaining grid electricity still contributes to the footprint. Further increasing renewable energy sourcing or optimizing energy intensity can lead to reductions.</w:t>
      </w:r>
    </w:p>
    <w:bookmarkEnd w:id="43"/>
    <w:bookmarkStart w:id="44" w:name="reliability-and-limitations"/>
    <w:p>
      <w:pPr>
        <w:pStyle w:val="Heading3"/>
      </w:pPr>
      <w:r>
        <w:t xml:space="preserve">4.2. Reliability and Limitations</w:t>
      </w:r>
    </w:p>
    <w:p>
      <w:pPr>
        <w:pStyle w:val="FirstParagraph"/>
      </w:pPr>
      <w:r>
        <w:t xml:space="preserve">The reliability of this PCF analysis is high due to the utilization of specific, detailed Bill of Materials (BOM) data and direct input for production energy, use phase, and end-of-life scenarios. The adherence to GHG Protocol ensures methodological consistency. However, some limitations exist:</w:t>
      </w:r>
    </w:p>
    <w:p>
      <w:pPr>
        <w:numPr>
          <w:ilvl w:val="0"/>
          <w:numId w:val="1020"/>
        </w:numPr>
        <w:pStyle w:val="Compact"/>
      </w:pPr>
      <w:r>
        <w:rPr>
          <w:bCs/>
          <w:b/>
        </w:rPr>
        <w:t xml:space="preserve">Emission Factor Assumptions:</w:t>
      </w:r>
      <w:r>
        <w:t xml:space="preserve"> </w:t>
      </w:r>
      <w:r>
        <w:t xml:space="preserve">While industry-standard (Ecoinvent/DEFRA equivalent) emission factors were used where specific data was unavailable, generic factors inherently carry a degree of uncertainty. Product-specific, supplier-specific emission data would further enhance accuracy.</w:t>
      </w:r>
    </w:p>
    <w:p>
      <w:pPr>
        <w:numPr>
          <w:ilvl w:val="0"/>
          <w:numId w:val="1020"/>
        </w:numPr>
        <w:pStyle w:val="Compact"/>
      </w:pPr>
      <w:r>
        <w:rPr>
          <w:bCs/>
          <w:b/>
        </w:rPr>
        <w:t xml:space="preserve">Transport Mode/Distance Assumptions:</w:t>
      </w:r>
      <w:r>
        <w:t xml:space="preserve"> </w:t>
      </w:r>
      <w:r>
        <w:t xml:space="preserve">For parameters such as "Select Mode", "iliwstdytu", and "Delivery Type", specific assumptions were made based on typical logistics patterns. Actual routes, transport efficiencies, and specific carrier data could vary.</w:t>
      </w:r>
    </w:p>
    <w:p>
      <w:pPr>
        <w:numPr>
          <w:ilvl w:val="0"/>
          <w:numId w:val="1020"/>
        </w:numPr>
        <w:pStyle w:val="Compact"/>
      </w:pPr>
      <w:r>
        <w:rPr>
          <w:bCs/>
          <w:b/>
        </w:rPr>
        <w:t xml:space="preserve">LSR Standard Application:</w:t>
      </w:r>
      <w:r>
        <w:t xml:space="preserve"> </w:t>
      </w:r>
      <w:r>
        <w:t xml:space="preserve">The GHG Protocol\'s LSR Standard was released in January 2026 and becomes effective January 1, 2027. Full, granular application would require detailed land-use change data associated with specific raw material origins, which was beyond the scope of this assessment. Its principles were applied conceptually.</w:t>
      </w:r>
    </w:p>
    <w:p>
      <w:pPr>
        <w:numPr>
          <w:ilvl w:val="0"/>
          <w:numId w:val="1020"/>
        </w:numPr>
        <w:pStyle w:val="Compact"/>
      </w:pPr>
      <w:r>
        <w:rPr>
          <w:bCs/>
          <w:b/>
        </w:rPr>
        <w:t xml:space="preserve">Dynamic Use Phase Behavior:</w:t>
      </w:r>
      <w:r>
        <w:t xml:space="preserve"> </w:t>
      </w:r>
      <w:r>
        <w:t xml:space="preserve">The use phase calculation assumes consistent energy consumption over the product\'s lifespan. Actual user behavior and regional electricity mixes might introduce variability.</w:t>
      </w:r>
    </w:p>
    <w:p>
      <w:pPr>
        <w:numPr>
          <w:ilvl w:val="0"/>
          <w:numId w:val="1020"/>
        </w:numPr>
        <w:pStyle w:val="Compact"/>
      </w:pPr>
      <w:r>
        <w:rPr>
          <w:bCs/>
          <w:b/>
        </w:rPr>
        <w:t xml:space="preserve">End-of-Life Scenarios:</w:t>
      </w:r>
      <w:r>
        <w:t xml:space="preserve"> </w:t>
      </w:r>
      <w:r>
        <w:t xml:space="preserve">The effectiveness of the take-back program and actual recycling rates depend on consumer participation and infrastructure, which can vary.</w:t>
      </w:r>
    </w:p>
    <w:bookmarkEnd w:id="44"/>
    <w:bookmarkStart w:id="45" w:name="recommendations-for-reduction"/>
    <w:p>
      <w:pPr>
        <w:pStyle w:val="Heading3"/>
      </w:pPr>
      <w:r>
        <w:t xml:space="preserve">4.3. Recommendations for Reduction</w:t>
      </w:r>
    </w:p>
    <w:p>
      <w:pPr>
        <w:pStyle w:val="FirstParagraph"/>
      </w:pPr>
      <w:r>
        <w:t xml:space="preserve">Based on the hotspot analysis, wdkosnizlf recommends the following strategies for koktvxzded to reduce the carbon footprint of meovunkdft:</w:t>
      </w:r>
    </w:p>
    <w:p>
      <w:pPr>
        <w:numPr>
          <w:ilvl w:val="0"/>
          <w:numId w:val="1021"/>
        </w:numPr>
        <w:pStyle w:val="Compact"/>
      </w:pPr>
      <w:r>
        <w:rPr>
          <w:bCs/>
          <w:b/>
        </w:rPr>
        <w:t xml:space="preserve">Enhance Use Phase Efficiency:</w:t>
      </w:r>
      <w:r>
        <w:t xml:space="preserve"> </w:t>
      </w:r>
      <w:r>
        <w:t xml:space="preserve">Focus on product redesign to significantly reduce energy consumption during operation. This could involve more efficient components, power-saving modes, or longer-lasting components to extend lifespan beyond 7 years.</w:t>
      </w:r>
    </w:p>
    <w:p>
      <w:pPr>
        <w:numPr>
          <w:ilvl w:val="0"/>
          <w:numId w:val="1021"/>
        </w:numPr>
        <w:pStyle w:val="Compact"/>
      </w:pPr>
      <w:r>
        <w:rPr>
          <w:bCs/>
          <w:b/>
        </w:rPr>
        <w:t xml:space="preserve">Sustainable Material Sourcing:</w:t>
      </w:r>
      <w:r>
        <w:t xml:space="preserve"> </w:t>
      </w:r>
      <w:r>
        <w:t xml:space="preserve">Explore opportunities to source lower-carbon intensity materials, increase the use of recycled content (e.g., secondary aluminum has significantly lower emissions than primary), or investigate alternative materials with inherently lower footprints for the aluminum and PCBA components.</w:t>
      </w:r>
    </w:p>
    <w:p>
      <w:pPr>
        <w:numPr>
          <w:ilvl w:val="0"/>
          <w:numId w:val="1021"/>
        </w:numPr>
        <w:pStyle w:val="Compact"/>
      </w:pPr>
      <w:r>
        <w:rPr>
          <w:bCs/>
          <w:b/>
        </w:rPr>
        <w:t xml:space="preserve">Optimize Production Energy:</w:t>
      </w:r>
      <w:r>
        <w:t xml:space="preserve"> </w:t>
      </w:r>
      <w:r>
        <w:t xml:space="preserve">Aim for 100% renewable energy sourcing at the manufacturing facility in China, or explore on-site renewable energy generation to eliminate remaining Scope 2 emissions.</w:t>
      </w:r>
    </w:p>
    <w:p>
      <w:pPr>
        <w:numPr>
          <w:ilvl w:val="0"/>
          <w:numId w:val="1021"/>
        </w:numPr>
        <w:pStyle w:val="Compact"/>
      </w:pPr>
      <w:r>
        <w:rPr>
          <w:bCs/>
          <w:b/>
        </w:rPr>
        <w:t xml:space="preserve">Supply Chain Optimization:</w:t>
      </w:r>
      <w:r>
        <w:t xml:space="preserve"> </w:t>
      </w:r>
      <w:r>
        <w:t xml:space="preserve">Investigate more efficient or lower-emission transport modes where feasible, particularly for long-haul inbound and outbound logistics. Optimize packaging to reduce weight and volume.</w:t>
      </w:r>
    </w:p>
    <w:p>
      <w:pPr>
        <w:numPr>
          <w:ilvl w:val="0"/>
          <w:numId w:val="1021"/>
        </w:numPr>
        <w:pStyle w:val="Compact"/>
      </w:pPr>
      <w:r>
        <w:rPr>
          <w:bCs/>
          <w:b/>
        </w:rPr>
        <w:t xml:space="preserve">Strengthen Circularity:</w:t>
      </w:r>
      <w:r>
        <w:t xml:space="preserve"> </w:t>
      </w:r>
      <w:r>
        <w:t xml:space="preserve">Continue to promote and expand the take-back and recycling program, ensuring high collection and effective material recovery rates to maximize avoided emissions at end-of-life. Explore modular design for easier repair and upgrades.</w:t>
      </w:r>
    </w:p>
    <w:bookmarkEnd w:id="45"/>
    <w:bookmarkEnd w:id="46"/>
    <w:bookmarkEnd w:id="47"/>
    <w:p>
      <w:pPr>
        <w:pStyle w:val="FirstParagraph"/>
      </w:pPr>
      <w:r>
        <w:t xml:space="preserve">Confidential - Internal Use Only. | Page 1 of X (For multi-page output)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meovunkdft</dc:title>
  <dc:creator/>
  <dc:description>Detailed Product Carbon Footprint (PCF) analysis report for meovunkdft, conducted by wdkosnizlf, Senior Sustainability Consultant for koktvxzded, following GHG Protocol standards.</dc:description>
  <cp:keywords/>
  <dcterms:created xsi:type="dcterms:W3CDTF">2026-07-15T11:37:15Z</dcterms:created>
  <dcterms:modified xsi:type="dcterms:W3CDTF">2026-07-15T11:37:15Z</dcterms:modified>
</cp:coreProperties>
</file>

<file path=docProps/custom.xml><?xml version="1.0" encoding="utf-8"?>
<Properties xmlns="http://schemas.openxmlformats.org/officeDocument/2006/custom-properties" xmlns:vt="http://schemas.openxmlformats.org/officeDocument/2006/docPropsVTypes"/>
</file>