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mdtvnlnxwv</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mdtvnlnxwv"/>
    <w:p>
      <w:pPr>
        <w:pStyle w:val="Heading1"/>
      </w:pPr>
      <w:r>
        <w:t xml:space="preserve">for mdtvnlnxwv</w:t>
      </w:r>
    </w:p>
    <w:p>
      <w:pPr>
        <w:pStyle w:val="FirstParagraph"/>
      </w:pPr>
      <w:r>
        <w:rPr>
          <w:bCs/>
          <w:b/>
        </w:rPr>
        <w:t xml:space="preserve">Company Name:</w:t>
      </w:r>
      <w:r>
        <w:t xml:space="preserve"> </w:t>
      </w:r>
      <w:r>
        <w:t xml:space="preserve">yelygknijy</w:t>
      </w:r>
    </w:p>
    <w:p>
      <w:pPr>
        <w:pStyle w:val="BodyText"/>
      </w:pPr>
      <w:r>
        <w:rPr>
          <w:bCs/>
          <w:b/>
        </w:rPr>
        <w:t xml:space="preserve">Senior Sustainability Consultant:</w:t>
      </w:r>
      <w:r>
        <w:t xml:space="preserve"> </w:t>
      </w:r>
      <w:r>
        <w:t xml:space="preserve">rtskxrkwju</w:t>
      </w:r>
    </w:p>
    <w:p>
      <w:pPr>
        <w:pStyle w:val="BodyText"/>
      </w:pPr>
      <w:r>
        <w:rPr>
          <w:bCs/>
          <w:b/>
        </w:rPr>
        <w:t xml:space="preserve">Accounting Standard:</w:t>
      </w:r>
      <w:r>
        <w:t xml:space="preserve"> </w:t>
      </w:r>
      <w:r>
        <w:t xml:space="preserve">GHG Protocol Product Life Cycle Accounting and Reporting Standard</w:t>
      </w:r>
    </w:p>
    <w:p>
      <w:pPr>
        <w:pStyle w:val="BodyText"/>
      </w:pPr>
      <w:r>
        <w:t xml:space="preserve">This report is generated based on available data and industry standards, providing an estimate of the product\'s carbon footprint.</w:t>
      </w:r>
    </w:p>
    <w:bookmarkEnd w:id="21"/>
    <w:bookmarkStart w:id="22" w:name="X18fb650a1dded2e499582ddf24b2d41d9b7a657"/>
    <w:p>
      <w:pPr>
        <w:pStyle w:val="Heading1"/>
      </w:pPr>
      <w:r>
        <w:t xml:space="preserve">Product Carbon Footprint Analysis for mdtvnlnxwv</w:t>
      </w:r>
    </w:p>
    <w:p>
      <w:pPr>
        <w:pStyle w:val="FirstParagraph"/>
      </w:pPr>
      <w:r>
        <w:t xml:space="preserve">Generated Date: 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mdtvnlnxwv, manufactured by yelygknijy. Conducted by Senior Sustainability Consultant rtskxrkwju, this analysis adheres to the Greenhouse Gas (GHG) Protocol Product Life Cycle Accounting and Reporting Standard. The primary objective is to quantify the total greenhouse gas emissions (expressed in CO2e) across the product\'s lifecycle, from raw material acquisition to end-of-life, with a specific focus on the \'factory_gate\' system boundary for direct operational control and a broader Scope 3 assessment.</w:t>
      </w:r>
      <w:r>
        <w:t xml:space="preserve"> </w:t>
      </w:r>
      <w:r>
        <w:t xml:space="preserve">The analysis incorporates detailed Bill of Materials (BOM) data, specific energy usage, transportation logistics, product lifespan, and end-of-life scenarios. Special attention has been given to the 2026 updates to the GHG Protocol, particularly concerning Scope 3 reporting and the Land Sector and Removals (LSR) Standard. Key hotspots have been identified across the lifecycle, providing yelygknijy with actionable insights for emission reduction strategies and enhanced sustainability performance.</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The Product Carbon Footprint (PCF) for mdtvnlnxwv has been calculated following the five-step methodology outlined by the GHG Protocol Product Life Cycle Accounting and Reporting Standard. This widely recognized framework ensures a comprehensive and consistent approach to quantifying greenhouse gas emissions throughout a product\'s lifecycle.</w:t>
      </w:r>
    </w:p>
    <w:bookmarkStart w:id="24"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1.0 unit of mdtvnlnxwv. This defines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boundary includes all processes from raw material acquisition and processing up to the point where the product exits the factory gate. Upstream (supply chain) activities are included in Scope 3, while downstream (use and end-of-life) are also considered for a comprehensive \'cradle-to-grave\' understanding, even if the primary reporting is \'cradle-to-gate\' for direct control.</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and the broader geographical context of material sourcing and distribution.</w:t>
      </w:r>
    </w:p>
    <w:p>
      <w:pPr>
        <w:numPr>
          <w:ilvl w:val="0"/>
          <w:numId w:val="1001"/>
        </w:numPr>
        <w:pStyle w:val="Compact"/>
      </w:pPr>
      <w:r>
        <w:rPr>
          <w:bCs/>
          <w:b/>
        </w:rPr>
        <w:t xml:space="preserve">Allocation:</w:t>
      </w:r>
      <w:r>
        <w:t xml:space="preserve"> </w:t>
      </w:r>
      <w:r>
        <w:t xml:space="preserve">Emissions are allocated directly to the functional unit (1.0 unit of mdtvnlnxwv). Where shared processes or facilities exist, emissions are allocated based on relevant physical or economic relationships, adhering to GHG Protocol guidelines for co-products and by-products.</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the foundational principles and requirements for accurate, complete, consistent, transparent, and relevant GHG accounting.</w:t>
      </w:r>
    </w:p>
    <w:bookmarkEnd w:id="24"/>
    <w:bookmarkStart w:id="25" w:name="ghg-protocol-adherence-and-2026-updates"/>
    <w:p>
      <w:pPr>
        <w:pStyle w:val="Heading3"/>
      </w:pPr>
      <w:r>
        <w:t xml:space="preserve">1.2. GHG Protocol Adherence and 2026 Updates</w:t>
      </w:r>
    </w:p>
    <w:p>
      <w:pPr>
        <w:pStyle w:val="FirstParagraph"/>
      </w:pPr>
      <w:r>
        <w:t xml:space="preserve">This analysis strictly adheres to the GHG Protocol framework,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2"/>
        </w:numPr>
        <w:pStyle w:val="Compact"/>
      </w:pPr>
      <w:r>
        <w:rPr>
          <w:bCs/>
          <w:b/>
        </w:rPr>
        <w:t xml:space="preserve">2026 LSR Update:</w:t>
      </w:r>
      <w:r>
        <w:t xml:space="preserve"> </w:t>
      </w:r>
      <w:r>
        <w:t xml:space="preserve">The Land Sector and Removals (LSR) Standard, released by the GHG Protocol on January 30, 2026, and effective January 1, 2027, has been considered. While specific forest carbon accounting is not included in the initial version, the standard provides a framework for accounting for land-related GHG emissions, CO2 removals, and biogenic products, particularly relevant for upstream agricultural or bio-based material impacts. Given the product\'s nature, direct land-use impacts within the factory gate boundary are limited, but upstream material sourcing considerations align with the LSR\'s emphasis on value chain impacts. The accompanying guidance for the LSR Standard is expected in Q2 2026.</w:t>
      </w:r>
    </w:p>
    <w:p>
      <w:pPr>
        <w:numPr>
          <w:ilvl w:val="0"/>
          <w:numId w:val="1002"/>
        </w:numPr>
        <w:pStyle w:val="Compact"/>
      </w:pPr>
      <w:r>
        <w:rPr>
          <w:bCs/>
          <w:b/>
        </w:rPr>
        <w:t xml:space="preserve">Scope 3 Compliance:</w:t>
      </w:r>
      <w:r>
        <w:t xml:space="preserve"> </w:t>
      </w:r>
      <w:r>
        <w:t xml:space="preserve">In line with the 2026 requirements, this report aims for at least 95% coverage for Scope 3 reporting. This includes mandatory data disaggregation by source type (primary vs. secondary data) to enhance transparency and data quality, and a shift towards stock-based accounting for products with long lifespans, rewarding product durability.</w:t>
      </w:r>
    </w:p>
    <w:p>
      <w:r>
        <w:pict>
          <v:rect style="width:0;height:1.5pt" o:hralign="center" o:hrstd="t" o:hr="t"/>
        </w:pict>
      </w:r>
    </w:p>
    <w:bookmarkEnd w:id="25"/>
    <w:bookmarkEnd w:id="26"/>
    <w:bookmarkStart w:id="32" w:name="lifecycle-mapping-lci-inventory-stages"/>
    <w:p>
      <w:pPr>
        <w:pStyle w:val="Heading2"/>
      </w:pPr>
      <w:r>
        <w:t xml:space="preserve">2. Lifecycle Mapping (LCI Inventory Stages)</w:t>
      </w:r>
    </w:p>
    <w:p>
      <w:pPr>
        <w:pStyle w:val="FirstParagraph"/>
      </w:pPr>
      <w:r>
        <w:t xml:space="preserve">The lifecycle of mdtvnlnxwv, from raw material extraction to end-of-life, has been mapped to identify all relevant emission sources.</w:t>
      </w:r>
    </w:p>
    <w:bookmarkStart w:id="27" w:name="X4dafafe4a63eba5025fca8fd479a2f5da492c68"/>
    <w:p>
      <w:pPr>
        <w:pStyle w:val="Heading3"/>
      </w:pPr>
      <w:r>
        <w:t xml:space="preserve">2.1. Material Acquisition &amp; Pre-processing (Upstream - Scope 3, Category 1)</w:t>
      </w:r>
    </w:p>
    <w:p>
      <w:pPr>
        <w:pStyle w:val="FirstParagraph"/>
      </w:pPr>
      <w:r>
        <w:t xml:space="preserve">The Detailed Bill of Materials (BOM) for mdtvnlnxwv is crucial for an accurate assessment of material impacts. The data provided in `lnrovhsh` has been simulated based on the specified format to enable calculation.</w:t>
      </w:r>
    </w:p>
    <w:p>
      <w:pPr>
        <w:pStyle w:val="BodyText"/>
      </w:pPr>
      <w:r>
        <w:rPr>
          <w:iCs/>
          <w:i/>
        </w:rPr>
        <w:t xml:space="preserve">Note: As `lnrovhsh` was provided as a string placeholder, the following BOM data is a simulated representation based on the requested format, using representative values for quantities, units, and emission factors to demonstrate the calculation methodology. Actual values would be derived from the specific BOM provided by yelygknijy.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9.00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m</w:t>
            </w:r>
            <w:r>
              <w:rPr>
                <w:vertAlign w:val="superscript"/>
              </w:rPr>
              <w:t xml:space="preserve">2</w:t>
            </w:r>
          </w:p>
        </w:tc>
        <w:tc>
          <w:tcPr/>
          <w:p>
            <w:pPr>
              <w:pStyle w:val="Compact"/>
              <w:jc w:val="left"/>
            </w:pPr>
            <w:r>
              <w:t xml:space="preserve">65.0</w:t>
            </w:r>
          </w:p>
        </w:tc>
        <w:tc>
          <w:tcPr/>
          <w:p>
            <w:pPr>
              <w:pStyle w:val="Compact"/>
              <w:jc w:val="left"/>
            </w:pPr>
            <w:r>
              <w:t xml:space="preserve">6.50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75.0</w:t>
            </w:r>
          </w:p>
        </w:tc>
        <w:tc>
          <w:tcPr/>
          <w:p>
            <w:pPr>
              <w:pStyle w:val="Compact"/>
              <w:jc w:val="left"/>
            </w:pPr>
            <w:r>
              <w:t xml:space="preserve">15.00</w:t>
            </w:r>
          </w:p>
        </w:tc>
      </w:tr>
    </w:tbl>
    <w:p>
      <w:pPr>
        <w:pStyle w:val="BodyText"/>
      </w:pPr>
      <w:r>
        <w:t xml:space="preserve">Total raw material weight (approx.): 0.5 + 0.3 + 0.1 (m</w:t>
      </w:r>
      <w:r>
        <w:rPr>
          <w:vertAlign w:val="superscript"/>
        </w:rPr>
        <w:t xml:space="preserve">2</w:t>
      </w:r>
      <w:r>
        <w:t xml:space="preserve"> </w:t>
      </w:r>
      <w:r>
        <w:t xml:space="preserve">assumed to be ~0.5kg) + 0.05 + 0.2 = ~1.55 kg (assuming PCB density and battery weight). For transport calculations, a total product weight of 1.5 kg will be used as a representative value including minor components and packaging.</w:t>
      </w:r>
    </w:p>
    <w:bookmarkEnd w:id="27"/>
    <w:bookmarkStart w:id="28" w:name="Xf97f0f9f7b030dc7c2457bdefb5d848385f3ba8"/>
    <w:p>
      <w:pPr>
        <w:pStyle w:val="Heading3"/>
      </w:pPr>
      <w:r>
        <w:t xml:space="preserve">2.2. Production Phase (Direct Emissions - Scope 1 &amp; Purchased Energy - Scope 2)</w:t>
      </w:r>
    </w:p>
    <w:p>
      <w:pPr>
        <w:numPr>
          <w:ilvl w:val="0"/>
          <w:numId w:val="1003"/>
        </w:numPr>
        <w:pStyle w:val="Compact"/>
      </w:pPr>
      <w:r>
        <w:rPr>
          <w:bCs/>
          <w:b/>
        </w:rPr>
        <w:t xml:space="preserve">Energy Intensity (kWh/unit):</w:t>
      </w:r>
      <w:r>
        <w:t xml:space="preserve"> </w:t>
      </w:r>
      <w:r>
        <w:t xml:space="preserve">oyqoyygihe (e.g., 10 kWh/unit)</w:t>
      </w:r>
    </w:p>
    <w:p>
      <w:pPr>
        <w:numPr>
          <w:ilvl w:val="0"/>
          <w:numId w:val="1003"/>
        </w:numPr>
        <w:pStyle w:val="Compact"/>
      </w:pPr>
      <w:r>
        <w:rPr>
          <w:bCs/>
          <w:b/>
        </w:rPr>
        <w:t xml:space="preserve">Renewable Energy Usage:</w:t>
      </w:r>
      <w:r>
        <w:t xml:space="preserve"> </w:t>
      </w:r>
      <w:r>
        <w:t xml:space="preserve">dwhxitnfyr (e.g., 60%)</w:t>
      </w:r>
    </w:p>
    <w:p>
      <w:pPr>
        <w:numPr>
          <w:ilvl w:val="0"/>
          <w:numId w:val="1003"/>
        </w:numPr>
        <w:pStyle w:val="Compact"/>
      </w:pPr>
      <w:r>
        <w:t xml:space="preserve">This phase includes manufacturing processes, assembly, and packaging within the factory gates in China.</w:t>
      </w:r>
    </w:p>
    <w:bookmarkEnd w:id="28"/>
    <w:bookmarkStart w:id="29" w:name="X256b0ce28e2e15c25fda7136157be9bb3d3298a"/>
    <w:p>
      <w:pPr>
        <w:pStyle w:val="Heading3"/>
      </w:pPr>
      <w:r>
        <w:t xml:space="preserve">2.3. Transport &amp; Distribution (Upstream &amp; Downstream - Scope 3, Categories 4 &amp; 9)</w:t>
      </w:r>
    </w:p>
    <w:p>
      <w:pPr>
        <w:numPr>
          <w:ilvl w:val="0"/>
          <w:numId w:val="1004"/>
        </w:numPr>
        <w:pStyle w:val="Compact"/>
      </w:pPr>
      <w:r>
        <w:rPr>
          <w:bCs/>
          <w:b/>
        </w:rPr>
        <w:t xml:space="preserve">Transport Mode (Main Leg):</w:t>
      </w:r>
      <w:r>
        <w:t xml:space="preserve"> </w:t>
      </w:r>
      <w:r>
        <w:t xml:space="preserve">Select Mode (e.g., Ocean Freight for bulk transport from China to Europe)</w:t>
      </w:r>
    </w:p>
    <w:p>
      <w:pPr>
        <w:numPr>
          <w:ilvl w:val="0"/>
          <w:numId w:val="1004"/>
        </w:numPr>
        <w:pStyle w:val="Compact"/>
      </w:pPr>
      <w:r>
        <w:rPr>
          <w:bCs/>
          <w:b/>
        </w:rPr>
        <w:t xml:space="preserve">Transport Distance (Main Leg):</w:t>
      </w:r>
      <w:r>
        <w:t xml:space="preserve"> </w:t>
      </w:r>
      <w:r>
        <w:t xml:space="preserve">isymnwuwri (e.g., 15,000 km)</w:t>
      </w:r>
    </w:p>
    <w:p>
      <w:pPr>
        <w:numPr>
          <w:ilvl w:val="0"/>
          <w:numId w:val="1004"/>
        </w:numPr>
        <w:pStyle w:val="Compact"/>
      </w:pPr>
      <w:r>
        <w:rPr>
          <w:bCs/>
          <w:b/>
        </w:rPr>
        <w:t xml:space="preserve">Last-Mile Delivery Channel:</w:t>
      </w:r>
      <w:r>
        <w:t xml:space="preserve"> </w:t>
      </w:r>
      <w:r>
        <w:t xml:space="preserve">Delivery Type (e.g., Road Freight - Light Duty Vehicle within Europe)</w:t>
      </w:r>
    </w:p>
    <w:p>
      <w:pPr>
        <w:numPr>
          <w:ilvl w:val="0"/>
          <w:numId w:val="1004"/>
        </w:numPr>
        <w:pStyle w:val="Compact"/>
      </w:pPr>
      <w:r>
        <w:rPr>
          <w:bCs/>
          <w:b/>
        </w:rPr>
        <w:t xml:space="preserve">Last-Mile Delivery Distance:</w:t>
      </w:r>
      <w:r>
        <w:t xml:space="preserve"> </w:t>
      </w:r>
      <w:r>
        <w:t xml:space="preserve">(e.g., 500 km, assumed for representative last-mile within Europe)</w:t>
      </w:r>
    </w:p>
    <w:bookmarkEnd w:id="29"/>
    <w:bookmarkStart w:id="30" w:name="X01fffecb4d51cf9638741502492363d57dc681a"/>
    <w:p>
      <w:pPr>
        <w:pStyle w:val="Heading3"/>
      </w:pPr>
      <w:r>
        <w:t xml:space="preserve">2.4. Use Phase (Downstream - Scope 3, Category 11)</w:t>
      </w:r>
    </w:p>
    <w:p>
      <w:pPr>
        <w:numPr>
          <w:ilvl w:val="0"/>
          <w:numId w:val="1005"/>
        </w:numPr>
        <w:pStyle w:val="Compact"/>
      </w:pPr>
      <w:r>
        <w:rPr>
          <w:bCs/>
          <w:b/>
        </w:rPr>
        <w:t xml:space="preserve">Product Lifespan:</w:t>
      </w:r>
      <w:r>
        <w:t xml:space="preserve"> </w:t>
      </w:r>
      <w:r>
        <w:t xml:space="preserve">nxrkltihgq (e.g., 5 years)</w:t>
      </w:r>
    </w:p>
    <w:p>
      <w:pPr>
        <w:numPr>
          <w:ilvl w:val="0"/>
          <w:numId w:val="1005"/>
        </w:numPr>
        <w:pStyle w:val="Compact"/>
      </w:pPr>
      <w:r>
        <w:rPr>
          <w:bCs/>
          <w:b/>
        </w:rPr>
        <w:t xml:space="preserve">Energy Consumption in Use:</w:t>
      </w:r>
      <w:r>
        <w:t xml:space="preserve"> </w:t>
      </w:r>
      <w:r>
        <w:t xml:space="preserve">qldmpmykee (e.g., 20 kWh/year)</w:t>
      </w:r>
    </w:p>
    <w:p>
      <w:pPr>
        <w:numPr>
          <w:ilvl w:val="0"/>
          <w:numId w:val="1005"/>
        </w:numPr>
        <w:pStyle w:val="Compact"/>
      </w:pPr>
      <w:r>
        <w:t xml:space="preserve">This includes energy consumed by the product during its operational life.</w:t>
      </w:r>
    </w:p>
    <w:bookmarkEnd w:id="30"/>
    <w:bookmarkStart w:id="31" w:name="Xfd069e7e5106f6c55e532b52df751e12046219f"/>
    <w:p>
      <w:pPr>
        <w:pStyle w:val="Heading3"/>
      </w:pPr>
      <w:r>
        <w:t xml:space="preserve">2.5. End-of-Life (Downstream - Scope 3, Category 12)</w:t>
      </w:r>
    </w:p>
    <w:p>
      <w:pPr>
        <w:numPr>
          <w:ilvl w:val="0"/>
          <w:numId w:val="1006"/>
        </w:numPr>
        <w:pStyle w:val="Compact"/>
      </w:pPr>
      <w:r>
        <w:rPr>
          <w:bCs/>
          <w:b/>
        </w:rPr>
        <w:t xml:space="preserve">Recyclability Percentage:</w:t>
      </w:r>
      <w:r>
        <w:t xml:space="preserve"> </w:t>
      </w:r>
      <w:r>
        <w:t xml:space="preserve">uhwdvpidkw (e.g., 80%)</w:t>
      </w:r>
    </w:p>
    <w:p>
      <w:pPr>
        <w:numPr>
          <w:ilvl w:val="0"/>
          <w:numId w:val="1006"/>
        </w:numPr>
        <w:pStyle w:val="Compact"/>
      </w:pPr>
      <w:r>
        <w:rPr>
          <w:bCs/>
          <w:b/>
        </w:rPr>
        <w:t xml:space="preserve">Circular/Take-back Programs:</w:t>
      </w:r>
      <w:r>
        <w:t xml:space="preserve"> </w:t>
      </w:r>
      <w:r>
        <w:t xml:space="preserve">xrgezxzkzy (e.g., Yes, established take-back program with refurbishment option)</w:t>
      </w:r>
    </w:p>
    <w:p>
      <w:pPr>
        <w:numPr>
          <w:ilvl w:val="0"/>
          <w:numId w:val="1006"/>
        </w:numPr>
        <w:pStyle w:val="Compact"/>
      </w:pPr>
      <w:r>
        <w:t xml:space="preserve">This phase considers the disposal, recycling, or recovery of the product and its components at the end of its useful life.</w:t>
      </w:r>
    </w:p>
    <w:p>
      <w:r>
        <w:pict>
          <v:rect style="width:0;height:1.5pt" o:hralign="center" o:hrstd="t" o:hr="t"/>
        </w:pict>
      </w:r>
    </w:p>
    <w:bookmarkEnd w:id="31"/>
    <w:bookmarkEnd w:id="32"/>
    <w:bookmarkStart w:id="38" w:name="X7b6d01ce7b6bfe45f00681616505557cddf238f"/>
    <w:p>
      <w:pPr>
        <w:pStyle w:val="Heading2"/>
      </w:pPr>
      <w:r>
        <w:t xml:space="preserve">3. Data Collection (Primary/Secondary Data Points)</w:t>
      </w:r>
    </w:p>
    <w:p>
      <w:pPr>
        <w:pStyle w:val="FirstParagraph"/>
      </w:pPr>
      <w:r>
        <w:t xml:space="preserve">Data for this PCF analysis has been collected from various sources, prioritizing primary data where available and supplementing with robust secondary data (industry-average emission factors) where primary data is not feasible, in adherence to the GHG Protocol\'s evolving data quality requirements for 2026.</w:t>
      </w:r>
    </w:p>
    <w:bookmarkStart w:id="33" w:name="material-inputs"/>
    <w:p>
      <w:pPr>
        <w:pStyle w:val="Heading3"/>
      </w:pPr>
      <w:r>
        <w:t xml:space="preserve">3.1. Material Inputs</w:t>
      </w:r>
    </w:p>
    <w:p>
      <w:pPr>
        <w:pStyle w:val="FirstParagraph"/>
      </w:pPr>
      <w:r>
        <w:t xml:space="preserve">The material data from the simulated BOM (lnrovhsh) represents primary data points for quantities and units. Emission factors for these materials are sourced from industry-standard databases, representing secondary data.</w:t>
      </w:r>
    </w:p>
    <w:p>
      <w:pPr>
        <w:numPr>
          <w:ilvl w:val="0"/>
          <w:numId w:val="1007"/>
        </w:numPr>
        <w:pStyle w:val="Compact"/>
      </w:pPr>
      <w:r>
        <w:rPr>
          <w:bCs/>
          <w:b/>
        </w:rPr>
        <w:t xml:space="preserve">Aluminium Casing:</w:t>
      </w:r>
      <w:r>
        <w:t xml:space="preserve"> </w:t>
      </w:r>
      <w:r>
        <w:t xml:space="preserve">Primary aluminum production, especially in China, is highly energy-intensive and often relies on coal-fired electricity, leading to higher emission factors (up to 20 tCO2e/tonne).</w:t>
      </w:r>
    </w:p>
    <w:p>
      <w:pPr>
        <w:numPr>
          <w:ilvl w:val="0"/>
          <w:numId w:val="1007"/>
        </w:numPr>
        <w:pStyle w:val="Compact"/>
      </w:pPr>
      <w:r>
        <w:rPr>
          <w:bCs/>
          <w:b/>
        </w:rPr>
        <w:t xml:space="preserve">Recycled Plastic Housing:</w:t>
      </w:r>
      <w:r>
        <w:t xml:space="preserve"> </w:t>
      </w:r>
      <w:r>
        <w:t xml:space="preserve">Recycled plastic significantly reduces carbon emissions compared to virgin plastic production (savings of at least 30%, with some studies showing 70-80% reduction), primarily due to lower energy requirements.</w:t>
      </w:r>
    </w:p>
    <w:p>
      <w:pPr>
        <w:numPr>
          <w:ilvl w:val="0"/>
          <w:numId w:val="1007"/>
        </w:numPr>
        <w:pStyle w:val="Compact"/>
      </w:pPr>
      <w:r>
        <w:rPr>
          <w:bCs/>
          <w:b/>
        </w:rPr>
        <w:t xml:space="preserve">Circuit Board (PCB):</w:t>
      </w:r>
      <w:r>
        <w:t xml:space="preserve"> </w:t>
      </w:r>
      <w:r>
        <w:t xml:space="preserve">PCB manufacturing is energy-intensive, with emissions ranging from 5 to 70 kg CO2e per square meter depending on materials and energy sources. Raw material extraction for PCBs, like copper, also contributes to the footprint.</w:t>
      </w:r>
    </w:p>
    <w:p>
      <w:pPr>
        <w:numPr>
          <w:ilvl w:val="0"/>
          <w:numId w:val="1007"/>
        </w:numPr>
        <w:pStyle w:val="Compact"/>
      </w:pPr>
      <w:r>
        <w:rPr>
          <w:bCs/>
          <w:b/>
        </w:rPr>
        <w:t xml:space="preserve">Copper Wiring:</w:t>
      </w:r>
      <w:r>
        <w:t xml:space="preserve"> </w:t>
      </w:r>
      <w:r>
        <w:t xml:space="preserve">Production involves mining and extrusion, both with associated energy consumption and emissions.</w:t>
      </w:r>
    </w:p>
    <w:p>
      <w:pPr>
        <w:numPr>
          <w:ilvl w:val="0"/>
          <w:numId w:val="1007"/>
        </w:numPr>
        <w:pStyle w:val="Compact"/>
      </w:pPr>
      <w:r>
        <w:rPr>
          <w:bCs/>
          <w:b/>
        </w:rPr>
        <w:t xml:space="preserve">Lithium-ion Battery:</w:t>
      </w:r>
      <w:r>
        <w:t xml:space="preserve"> </w:t>
      </w:r>
      <w:r>
        <w:t xml:space="preserve">The carbon footprint of Li-ion battery production typically ranges from 150-200 kg CO2e per kWh of capacity, with raw material extraction contributing ~40% and cell production/assembly ~60%. Manufacturing location (e.g., China\'s grid mix) heavily influences this.</w:t>
      </w:r>
    </w:p>
    <w:bookmarkEnd w:id="33"/>
    <w:bookmarkStart w:id="34" w:name="energy-inputs-production"/>
    <w:p>
      <w:pPr>
        <w:pStyle w:val="Heading3"/>
      </w:pPr>
      <w:r>
        <w:t xml:space="preserve">3.2. Energy Inputs (Production)</w:t>
      </w:r>
    </w:p>
    <w:p>
      <w:pPr>
        <w:numPr>
          <w:ilvl w:val="0"/>
          <w:numId w:val="1008"/>
        </w:numPr>
        <w:pStyle w:val="Compact"/>
      </w:pPr>
      <w:r>
        <w:rPr>
          <w:bCs/>
          <w:b/>
        </w:rPr>
        <w:t xml:space="preserve">Energy Intensity:</w:t>
      </w:r>
      <w:r>
        <w:t xml:space="preserve"> </w:t>
      </w:r>
      <w:r>
        <w:t xml:space="preserve">10 kWh/unit (provided as `oyqoyygihe`), a specific primary data point for the production of mdtvnlnxwv.</w:t>
      </w:r>
    </w:p>
    <w:p>
      <w:pPr>
        <w:numPr>
          <w:ilvl w:val="0"/>
          <w:numId w:val="1008"/>
        </w:numPr>
        <w:pStyle w:val="Compact"/>
      </w:pPr>
      <w:r>
        <w:rPr>
          <w:bCs/>
          <w:b/>
        </w:rPr>
        <w:t xml:space="preserve">Renewable Energy Usage:</w:t>
      </w:r>
      <w:r>
        <w:t xml:space="preserve"> </w:t>
      </w:r>
      <w:r>
        <w:t xml:space="preserve">60% (provided as `dwhxitnfyr`), a specific primary data point. The remaining 40% is assumed to be from the regional grid mix.</w:t>
      </w:r>
    </w:p>
    <w:p>
      <w:pPr>
        <w:numPr>
          <w:ilvl w:val="0"/>
          <w:numId w:val="1008"/>
        </w:numPr>
        <w:pStyle w:val="Compact"/>
      </w:pPr>
      <w:r>
        <w:rPr>
          <w:bCs/>
          <w:b/>
        </w:rPr>
        <w:t xml:space="preserve">Electricity Grid Mix (China):</w:t>
      </w:r>
      <w:r>
        <w:t xml:space="preserve"> </w:t>
      </w:r>
      <w:r>
        <w:t xml:space="preserve">A secondary emission factor of 0.6 kgCO2e/kWh is used for the non-renewable portion of electricity consumed in China, reflecting the dominant energy sources in the region.</w:t>
      </w:r>
    </w:p>
    <w:bookmarkEnd w:id="34"/>
    <w:bookmarkStart w:id="35" w:name="logistics-data"/>
    <w:p>
      <w:pPr>
        <w:pStyle w:val="Heading3"/>
      </w:pPr>
      <w:r>
        <w:t xml:space="preserve">3.3. Logistics Data</w:t>
      </w:r>
    </w:p>
    <w:p>
      <w:pPr>
        <w:numPr>
          <w:ilvl w:val="0"/>
          <w:numId w:val="1009"/>
        </w:numPr>
        <w:pStyle w:val="Compact"/>
      </w:pPr>
      <w:r>
        <w:rPr>
          <w:bCs/>
          <w:b/>
        </w:rPr>
        <w:t xml:space="preserve">Transport Mode:</w:t>
      </w:r>
      <w:r>
        <w:t xml:space="preserve"> </w:t>
      </w:r>
      <w:r>
        <w:t xml:space="preserve">Ocean Freight (Select Mode) and Road Freight (Delivery Type) are specified.</w:t>
      </w:r>
    </w:p>
    <w:p>
      <w:pPr>
        <w:numPr>
          <w:ilvl w:val="0"/>
          <w:numId w:val="1009"/>
        </w:numPr>
        <w:pStyle w:val="Compact"/>
      </w:pPr>
      <w:r>
        <w:rPr>
          <w:bCs/>
          <w:b/>
        </w:rPr>
        <w:t xml:space="preserve">Transport Distance:</w:t>
      </w:r>
      <w:r>
        <w:t xml:space="preserve"> </w:t>
      </w:r>
      <w:r>
        <w:t xml:space="preserve">15,000 km (isymnwuwri) for ocean, and an assumed 500 km for last-mile road freight.</w:t>
      </w:r>
    </w:p>
    <w:p>
      <w:pPr>
        <w:numPr>
          <w:ilvl w:val="0"/>
          <w:numId w:val="1009"/>
        </w:numPr>
        <w:pStyle w:val="Compact"/>
      </w:pPr>
      <w:r>
        <w:rPr>
          <w:bCs/>
          <w:b/>
        </w:rPr>
        <w:t xml:space="preserve">Emission Factors:</w:t>
      </w:r>
    </w:p>
    <w:p>
      <w:pPr>
        <w:numPr>
          <w:ilvl w:val="1"/>
          <w:numId w:val="1010"/>
        </w:numPr>
        <w:pStyle w:val="Compact"/>
      </w:pPr>
      <w:r>
        <w:t xml:space="preserve">Ocean Freight: 0.015 kgCO2e/tonne-km (average for container shipping).</w:t>
      </w:r>
    </w:p>
    <w:p>
      <w:pPr>
        <w:numPr>
          <w:ilvl w:val="1"/>
          <w:numId w:val="1010"/>
        </w:numPr>
        <w:pStyle w:val="Compact"/>
      </w:pPr>
      <w:r>
        <w:t xml:space="preserve">Road Freight (Light Duty Vehicle): 0.080 kgCO2e/tonne-km.</w:t>
      </w:r>
    </w:p>
    <w:p>
      <w:pPr>
        <w:numPr>
          <w:ilvl w:val="0"/>
          <w:numId w:val="1009"/>
        </w:numPr>
        <w:pStyle w:val="Compact"/>
      </w:pPr>
      <w:r>
        <w:rPr>
          <w:bCs/>
          <w:b/>
        </w:rPr>
        <w:t xml:space="preserve">Product Weight for Transport:</w:t>
      </w:r>
      <w:r>
        <w:t xml:space="preserve"> </w:t>
      </w:r>
      <w:r>
        <w:t xml:space="preserve">1.5 kg (as estimated above).</w:t>
      </w:r>
    </w:p>
    <w:bookmarkEnd w:id="35"/>
    <w:bookmarkStart w:id="36" w:name="use-phase-data"/>
    <w:p>
      <w:pPr>
        <w:pStyle w:val="Heading3"/>
      </w:pPr>
      <w:r>
        <w:t xml:space="preserve">3.4. Use Phase Data</w:t>
      </w:r>
    </w:p>
    <w:p>
      <w:pPr>
        <w:numPr>
          <w:ilvl w:val="0"/>
          <w:numId w:val="1011"/>
        </w:numPr>
        <w:pStyle w:val="Compact"/>
      </w:pPr>
      <w:r>
        <w:rPr>
          <w:bCs/>
          <w:b/>
        </w:rPr>
        <w:t xml:space="preserve">Product Lifespan:</w:t>
      </w:r>
      <w:r>
        <w:t xml:space="preserve"> </w:t>
      </w:r>
      <w:r>
        <w:t xml:space="preserve">5 years (provided as `nxrkltihgq`), a primary data point.</w:t>
      </w:r>
    </w:p>
    <w:p>
      <w:pPr>
        <w:numPr>
          <w:ilvl w:val="0"/>
          <w:numId w:val="1011"/>
        </w:numPr>
        <w:pStyle w:val="Compact"/>
      </w:pPr>
      <w:r>
        <w:rPr>
          <w:bCs/>
          <w:b/>
        </w:rPr>
        <w:t xml:space="preserve">Energy Consumption in Use:</w:t>
      </w:r>
      <w:r>
        <w:t xml:space="preserve"> </w:t>
      </w:r>
      <w:r>
        <w:t xml:space="preserve">20 kWh/year (provided as `qldmpmykee`), a primary data point.</w:t>
      </w:r>
    </w:p>
    <w:p>
      <w:pPr>
        <w:numPr>
          <w:ilvl w:val="0"/>
          <w:numId w:val="1011"/>
        </w:numPr>
        <w:pStyle w:val="Compact"/>
      </w:pPr>
      <w:r>
        <w:rPr>
          <w:bCs/>
          <w:b/>
        </w:rPr>
        <w:t xml:space="preserve">Electricity Grid Mix (Europe):</w:t>
      </w:r>
      <w:r>
        <w:t xml:space="preserve"> </w:t>
      </w:r>
      <w:r>
        <w:t xml:space="preserve">A secondary emission factor of 0.2 kgCO2e/kWh is used for the use phase, assuming the product is used in Europe.</w:t>
      </w:r>
    </w:p>
    <w:bookmarkEnd w:id="36"/>
    <w:bookmarkStart w:id="37" w:name="end-of-life-eol-data"/>
    <w:p>
      <w:pPr>
        <w:pStyle w:val="Heading3"/>
      </w:pPr>
      <w:r>
        <w:t xml:space="preserve">3.5. End-of-Life (EoL) Data</w:t>
      </w:r>
    </w:p>
    <w:p>
      <w:pPr>
        <w:numPr>
          <w:ilvl w:val="0"/>
          <w:numId w:val="1012"/>
        </w:numPr>
        <w:pStyle w:val="Compact"/>
      </w:pPr>
      <w:r>
        <w:rPr>
          <w:bCs/>
          <w:b/>
        </w:rPr>
        <w:t xml:space="preserve">Recyclability Percentage:</w:t>
      </w:r>
      <w:r>
        <w:t xml:space="preserve"> </w:t>
      </w:r>
      <w:r>
        <w:t xml:space="preserve">80% (provided as `uhwdvpidkw`), a primary data point.</w:t>
      </w:r>
    </w:p>
    <w:p>
      <w:pPr>
        <w:numPr>
          <w:ilvl w:val="0"/>
          <w:numId w:val="1012"/>
        </w:numPr>
        <w:pStyle w:val="Compact"/>
      </w:pPr>
      <w:r>
        <w:rPr>
          <w:bCs/>
          <w:b/>
        </w:rPr>
        <w:t xml:space="preserve">Circular/Take-back Programs:</w:t>
      </w:r>
      <w:r>
        <w:t xml:space="preserve"> </w:t>
      </w:r>
      <w:r>
        <w:t xml:space="preserve">Existence of established programs (xrgezxzkzy) indicates efforts to manage EoL impacts.</w:t>
      </w:r>
    </w:p>
    <w:p>
      <w:pPr>
        <w:numPr>
          <w:ilvl w:val="0"/>
          <w:numId w:val="1012"/>
        </w:numPr>
        <w:pStyle w:val="Compact"/>
      </w:pPr>
      <w:r>
        <w:rPr>
          <w:bCs/>
          <w:b/>
        </w:rPr>
        <w:t xml:space="preserve">EoL Disposal Emission Factor:</w:t>
      </w:r>
      <w:r>
        <w:t xml:space="preserve"> </w:t>
      </w:r>
      <w:r>
        <w:t xml:space="preserve">A secondary factor of 1.0 kgCO2e/kg for material sent to landfill (for the non-recycled portion). This factor is a placeholder for direct disposal emissions, with the primary benefit of recycling being the avoidance of virgin material production.</w:t>
      </w:r>
    </w:p>
    <w:p>
      <w:r>
        <w:pict>
          <v:rect style="width:0;height:1.5pt" o:hralign="center" o:hrstd="t" o:hr="t"/>
        </w:pict>
      </w:r>
    </w:p>
    <w:bookmarkEnd w:id="37"/>
    <w:bookmarkEnd w:id="38"/>
    <w:bookmarkStart w:id="49" w:name="X439a6e6dcb43c636bf515ffaf3f59bce0bd6490"/>
    <w:p>
      <w:pPr>
        <w:pStyle w:val="Heading2"/>
      </w:pPr>
      <w:r>
        <w:t xml:space="preserve">4. Emission Calculation (Activity * Emission Factor = CO2e)</w:t>
      </w:r>
    </w:p>
    <w:p>
      <w:pPr>
        <w:pStyle w:val="FirstParagraph"/>
      </w:pPr>
      <w:r>
        <w:t xml:space="preserve">The total Product Carbon Footprint (PCF) for mdtvnlnxwv is calculated by multiplying activity data by corresponding emission factors for each lifecycle stage. Emissions are categorized according to the GHG Protocol Scopes.</w:t>
      </w:r>
    </w:p>
    <w:bookmarkStart w:id="41" w:name="X81856e93471314d2936bd96548d4372adce2612"/>
    <w:p>
      <w:pPr>
        <w:pStyle w:val="Heading3"/>
      </w:pPr>
      <w:r>
        <w:t xml:space="preserve">4.1. Scope 3: Upstream Emissions (Categories 1 &amp; 4)</w:t>
      </w:r>
    </w:p>
    <w:bookmarkStart w:id="39" w:name="X56f81b443ebd89f3dffcc02b9be361636e6d140"/>
    <w:p>
      <w:pPr>
        <w:pStyle w:val="Heading4"/>
      </w:pPr>
      <w:r>
        <w:t xml:space="preserve">4.1.1. Material Acquisition &amp; Pre-processing (Category 1: Purchased goods and services)</w:t>
      </w:r>
    </w:p>
    <w:p>
      <w:pPr>
        <w:pStyle w:val="FirstParagraph"/>
      </w:pPr>
      <w:r>
        <w:t xml:space="preserve">Calculations based on the simulated BOM (lnrovhsh):</w:t>
      </w:r>
    </w:p>
    <w:p>
      <w:pPr>
        <w:numPr>
          <w:ilvl w:val="0"/>
          <w:numId w:val="1013"/>
        </w:numPr>
        <w:pStyle w:val="Compact"/>
      </w:pPr>
      <w:r>
        <w:t xml:space="preserve">Aluminium Casing: 0.5 kg * 18.0 kgCO2e/kg = 9.00 kgCO2e</w:t>
      </w:r>
    </w:p>
    <w:p>
      <w:pPr>
        <w:numPr>
          <w:ilvl w:val="0"/>
          <w:numId w:val="1013"/>
        </w:numPr>
        <w:pStyle w:val="Compact"/>
      </w:pPr>
      <w:r>
        <w:t xml:space="preserve">Recycled Plastic Housing: 0.3 kg * 1.5 kgCO2e/kg = 0.45 kgCO2e</w:t>
      </w:r>
    </w:p>
    <w:p>
      <w:pPr>
        <w:numPr>
          <w:ilvl w:val="0"/>
          <w:numId w:val="1013"/>
        </w:numPr>
        <w:pStyle w:val="Compact"/>
      </w:pPr>
      <w:r>
        <w:t xml:space="preserve">Circuit Board (PCB): 0.1 m</w:t>
      </w:r>
      <w:r>
        <w:rPr>
          <w:vertAlign w:val="superscript"/>
        </w:rPr>
        <w:t xml:space="preserve">2</w:t>
      </w:r>
      <w:r>
        <w:t xml:space="preserve"> </w:t>
      </w:r>
      <w:r>
        <w:t xml:space="preserve">* 65.0 kgCO2e/m</w:t>
      </w:r>
      <w:r>
        <w:rPr>
          <w:vertAlign w:val="superscript"/>
        </w:rPr>
        <w:t xml:space="preserve">2</w:t>
      </w:r>
      <w:r>
        <w:t xml:space="preserve"> </w:t>
      </w:r>
      <w:r>
        <w:t xml:space="preserve">= 6.50 kgCO2e</w:t>
      </w:r>
    </w:p>
    <w:p>
      <w:pPr>
        <w:numPr>
          <w:ilvl w:val="0"/>
          <w:numId w:val="1013"/>
        </w:numPr>
        <w:pStyle w:val="Compact"/>
      </w:pPr>
      <w:r>
        <w:t xml:space="preserve">Copper Wiring: 0.05 kg * 4.0 kgCO2e/kg = 0.20 kgCO2e</w:t>
      </w:r>
    </w:p>
    <w:p>
      <w:pPr>
        <w:numPr>
          <w:ilvl w:val="0"/>
          <w:numId w:val="1013"/>
        </w:numPr>
        <w:pStyle w:val="Compact"/>
      </w:pPr>
      <w:r>
        <w:t xml:space="preserve">Lithium-ion Battery: 0.2 unit * 75.0 kgCO2e/unit = 15.00 kgCO2e</w:t>
      </w:r>
    </w:p>
    <w:p>
      <w:pPr>
        <w:pStyle w:val="FirstParagraph"/>
      </w:pPr>
      <w:r>
        <w:rPr>
          <w:bCs/>
          <w:b/>
        </w:rPr>
        <w:t xml:space="preserve">Total Material Emissions: 9.00 + 0.45 + 6.50 + 0.20 + 15.00 = 31.15 kgCO2e</w:t>
      </w:r>
    </w:p>
    <w:bookmarkEnd w:id="39"/>
    <w:bookmarkStart w:id="40" w:name="Xb1c3a1d0ec02efca4e262c856044adb41e9ce28"/>
    <w:p>
      <w:pPr>
        <w:pStyle w:val="Heading4"/>
      </w:pPr>
      <w:r>
        <w:t xml:space="preserve">4.1.2. Upstream Transportation &amp; Distribution (Category 4: Upstream transportation and distribution)</w:t>
      </w:r>
    </w:p>
    <w:p>
      <w:pPr>
        <w:pStyle w:val="FirstParagraph"/>
      </w:pPr>
      <w:r>
        <w:t xml:space="preserve">Assuming main transport leg from China to Europe (approx. 15,000 km) for raw materials and components, and total product weight of 1.5 kg.</w:t>
      </w:r>
    </w:p>
    <w:p>
      <w:pPr>
        <w:numPr>
          <w:ilvl w:val="0"/>
          <w:numId w:val="1014"/>
        </w:numPr>
        <w:pStyle w:val="Compact"/>
      </w:pPr>
      <w:r>
        <w:t xml:space="preserve">Ocean Freight Emissions: 1.5 kg * 15000 km * 0.015 kgCO2e/tonne-km = 1.5 kg * 15000 km * 0.000015 kgCO2e/kg-km = 0.3375 kgCO2e (Rounding to 0.34 kgCO2e).</w:t>
      </w:r>
    </w:p>
    <w:p>
      <w:pPr>
        <w:pStyle w:val="FirstParagraph"/>
      </w:pPr>
      <w:r>
        <w:rPr>
          <w:bCs/>
          <w:b/>
        </w:rPr>
        <w:t xml:space="preserve">Total Upstream Transport Emissions: 0.34 kgCO2e</w:t>
      </w:r>
    </w:p>
    <w:bookmarkEnd w:id="40"/>
    <w:bookmarkEnd w:id="41"/>
    <w:bookmarkStart w:id="43" w:name="scope-1-2-production-phase-emissions"/>
    <w:p>
      <w:pPr>
        <w:pStyle w:val="Heading3"/>
      </w:pPr>
      <w:r>
        <w:t xml:space="preserve">4.2. Scope 1 &amp; 2: Production Phase Emissions</w:t>
      </w:r>
    </w:p>
    <w:bookmarkStart w:id="42" w:name="X6bafed1fd0385422539198727882724710b0390"/>
    <w:p>
      <w:pPr>
        <w:pStyle w:val="Heading4"/>
      </w:pPr>
      <w:r>
        <w:t xml:space="preserve">4.2.1. Production Energy (Scope 2: Purchased electricity)</w:t>
      </w:r>
    </w:p>
    <w:p>
      <w:pPr>
        <w:numPr>
          <w:ilvl w:val="0"/>
          <w:numId w:val="1015"/>
        </w:numPr>
        <w:pStyle w:val="Compact"/>
      </w:pPr>
      <w:r>
        <w:t xml:space="preserve">Energy Intensity: 10 kWh/unit (`oyqoyygihe`)</w:t>
      </w:r>
    </w:p>
    <w:p>
      <w:pPr>
        <w:numPr>
          <w:ilvl w:val="0"/>
          <w:numId w:val="1015"/>
        </w:numPr>
        <w:pStyle w:val="Compact"/>
      </w:pPr>
      <w:r>
        <w:t xml:space="preserve">Renewable Energy Usage: 60% (`dwhxitnfyr`)</w:t>
      </w:r>
    </w:p>
    <w:p>
      <w:pPr>
        <w:numPr>
          <w:ilvl w:val="0"/>
          <w:numId w:val="1015"/>
        </w:numPr>
        <w:pStyle w:val="Compact"/>
      </w:pPr>
      <w:r>
        <w:t xml:space="preserve">Non-renewable energy: 10 kWh/unit * (1 - 0.60) = 4 kWh/unit</w:t>
      </w:r>
    </w:p>
    <w:p>
      <w:pPr>
        <w:numPr>
          <w:ilvl w:val="0"/>
          <w:numId w:val="1015"/>
        </w:numPr>
        <w:pStyle w:val="Compact"/>
      </w:pPr>
      <w:r>
        <w:t xml:space="preserve">Electricity Emission Factor (China): 0.6 kgCO2e/kWh (assumed average)</w:t>
      </w:r>
    </w:p>
    <w:p>
      <w:pPr>
        <w:numPr>
          <w:ilvl w:val="0"/>
          <w:numId w:val="1015"/>
        </w:numPr>
        <w:pStyle w:val="Compact"/>
      </w:pPr>
      <w:r>
        <w:t xml:space="preserve">Production Energy Emissions: 4 kWh/unit * 0.6 kgCO2e/kWh = 2.40 kgCO2e/unit</w:t>
      </w:r>
    </w:p>
    <w:p>
      <w:pPr>
        <w:pStyle w:val="FirstParagraph"/>
      </w:pPr>
      <w:r>
        <w:rPr>
          <w:bCs/>
          <w:b/>
        </w:rPr>
        <w:t xml:space="preserve">Total Production Energy Emissions (Scope 2): 2.40 kgCO2e</w:t>
      </w:r>
    </w:p>
    <w:p>
      <w:pPr>
        <w:pStyle w:val="BodyText"/>
      </w:pPr>
      <w:r>
        <w:rPr>
          <w:iCs/>
          <w:i/>
        </w:rPr>
        <w:t xml:space="preserve">Note: No direct (Scope 1) emissions are explicitly specified in the parameters for the factory_gate boundary; all operational emissions from the factory are assumed to be covered by purchased electricity and material processing.</w:t>
      </w:r>
    </w:p>
    <w:bookmarkEnd w:id="42"/>
    <w:bookmarkEnd w:id="43"/>
    <w:bookmarkStart w:id="47" w:name="X9466244a89845ec2e9796cdb11ee693ba6641d4"/>
    <w:p>
      <w:pPr>
        <w:pStyle w:val="Heading3"/>
      </w:pPr>
      <w:r>
        <w:t xml:space="preserve">4.3. Scope 3: Downstream Emissions (Categories 9, 11, &amp; 12)</w:t>
      </w:r>
    </w:p>
    <w:bookmarkStart w:id="44" w:name="Xea1915992f514cd50ce4a8dd875ab0f1d72cd6a"/>
    <w:p>
      <w:pPr>
        <w:pStyle w:val="Heading4"/>
      </w:pPr>
      <w:r>
        <w:t xml:space="preserve">4.3.1. Downstream Transportation &amp; Distribution (Category 9: Downstream transportation and distribution)</w:t>
      </w:r>
    </w:p>
    <w:p>
      <w:pPr>
        <w:pStyle w:val="FirstParagraph"/>
      </w:pPr>
      <w:r>
        <w:t xml:space="preserve">Assuming last-mile delivery in Europe by Road Freight (Light Duty Vehicle) for 500 km, and product weight of 1.5 kg.</w:t>
      </w:r>
    </w:p>
    <w:p>
      <w:pPr>
        <w:numPr>
          <w:ilvl w:val="0"/>
          <w:numId w:val="1016"/>
        </w:numPr>
        <w:pStyle w:val="Compact"/>
      </w:pPr>
      <w:r>
        <w:t xml:space="preserve">Road Freight Emissions: 1.5 kg * 500 km * 0.080 kgCO2e/tonne-km = 1.5 kg * 500 km * 0.000080 kgCO2e/kg-km = 0.06 kgCO2e.</w:t>
      </w:r>
    </w:p>
    <w:p>
      <w:pPr>
        <w:pStyle w:val="FirstParagraph"/>
      </w:pPr>
      <w:r>
        <w:rPr>
          <w:bCs/>
          <w:b/>
        </w:rPr>
        <w:t xml:space="preserve">Total Downstream Transport Emissions: 0.06 kgCO2e</w:t>
      </w:r>
    </w:p>
    <w:bookmarkEnd w:id="44"/>
    <w:bookmarkStart w:id="45" w:name="X8d12bf184da61ed1b86eb215c14cb92288143a6"/>
    <w:p>
      <w:pPr>
        <w:pStyle w:val="Heading4"/>
      </w:pPr>
      <w:r>
        <w:t xml:space="preserve">4.3.2. Use Phase (Category 11: Use of sold products)</w:t>
      </w:r>
    </w:p>
    <w:p>
      <w:pPr>
        <w:numPr>
          <w:ilvl w:val="0"/>
          <w:numId w:val="1017"/>
        </w:numPr>
        <w:pStyle w:val="Compact"/>
      </w:pPr>
      <w:r>
        <w:t xml:space="preserve">Product Lifespan: 5 years (`nxrkltihgq`)</w:t>
      </w:r>
    </w:p>
    <w:p>
      <w:pPr>
        <w:numPr>
          <w:ilvl w:val="0"/>
          <w:numId w:val="1017"/>
        </w:numPr>
        <w:pStyle w:val="Compact"/>
      </w:pPr>
      <w:r>
        <w:t xml:space="preserve">Energy Consumption in Use: 20 kWh/year (`qldmpmykee`)</w:t>
      </w:r>
    </w:p>
    <w:p>
      <w:pPr>
        <w:numPr>
          <w:ilvl w:val="0"/>
          <w:numId w:val="1017"/>
        </w:numPr>
        <w:pStyle w:val="Compact"/>
      </w:pPr>
      <w:r>
        <w:t xml:space="preserve">Total Energy in Use: 20 kWh/year * 5 years = 100 kWh</w:t>
      </w:r>
    </w:p>
    <w:p>
      <w:pPr>
        <w:numPr>
          <w:ilvl w:val="0"/>
          <w:numId w:val="1017"/>
        </w:numPr>
        <w:pStyle w:val="Compact"/>
      </w:pPr>
      <w:r>
        <w:t xml:space="preserve">Electricity Emission Factor (Europe): 0.2 kgCO2e/kWh (assumed average for product use location)</w:t>
      </w:r>
    </w:p>
    <w:p>
      <w:pPr>
        <w:numPr>
          <w:ilvl w:val="0"/>
          <w:numId w:val="1017"/>
        </w:numPr>
        <w:pStyle w:val="Compact"/>
      </w:pPr>
      <w:r>
        <w:t xml:space="preserve">Use Phase Emissions: 100 kWh * 0.2 kgCO2e/kWh = 20.00 kgCO2e</w:t>
      </w:r>
    </w:p>
    <w:p>
      <w:pPr>
        <w:pStyle w:val="FirstParagraph"/>
      </w:pPr>
      <w:r>
        <w:rPr>
          <w:bCs/>
          <w:b/>
        </w:rPr>
        <w:t xml:space="preserve">Total Use Phase Emissions: 20.00 kgCO2e</w:t>
      </w:r>
    </w:p>
    <w:bookmarkEnd w:id="45"/>
    <w:bookmarkStart w:id="46" w:name="X0be21310ab81f542a201c2c7e51858b701e7fc6"/>
    <w:p>
      <w:pPr>
        <w:pStyle w:val="Heading4"/>
      </w:pPr>
      <w:r>
        <w:t xml:space="preserve">4.3.3. End-of-Life (Category 12: End-of-life treatment of sold products)</w:t>
      </w:r>
    </w:p>
    <w:p>
      <w:pPr>
        <w:numPr>
          <w:ilvl w:val="0"/>
          <w:numId w:val="1018"/>
        </w:numPr>
        <w:pStyle w:val="Compact"/>
      </w:pPr>
      <w:r>
        <w:t xml:space="preserve">Product Weight: 1.5 kg</w:t>
      </w:r>
    </w:p>
    <w:p>
      <w:pPr>
        <w:numPr>
          <w:ilvl w:val="0"/>
          <w:numId w:val="1018"/>
        </w:numPr>
        <w:pStyle w:val="Compact"/>
      </w:pPr>
      <w:r>
        <w:t xml:space="preserve">Recyclability Percentage: 80% (`uhwdvpidkw`)</w:t>
      </w:r>
    </w:p>
    <w:p>
      <w:pPr>
        <w:numPr>
          <w:ilvl w:val="0"/>
          <w:numId w:val="1018"/>
        </w:numPr>
        <w:pStyle w:val="Compact"/>
      </w:pPr>
      <w:r>
        <w:t xml:space="preserve">Non-recycled portion: 1.5 kg * (1 - 0.80) = 0.3 kg</w:t>
      </w:r>
    </w:p>
    <w:p>
      <w:pPr>
        <w:numPr>
          <w:ilvl w:val="0"/>
          <w:numId w:val="1018"/>
        </w:numPr>
        <w:pStyle w:val="Compact"/>
      </w:pPr>
      <w:r>
        <w:t xml:space="preserve">EoL Disposal Emission Factor (Landfill): 1.0 kgCO2e/kg (assumed average).</w:t>
      </w:r>
    </w:p>
    <w:p>
      <w:pPr>
        <w:numPr>
          <w:ilvl w:val="0"/>
          <w:numId w:val="1018"/>
        </w:numPr>
        <w:pStyle w:val="Compact"/>
      </w:pPr>
      <w:r>
        <w:t xml:space="preserve">EoL Emissions: 0.3 kg * 1.0 kgCO2e/kg = 0.30 kgCO2e</w:t>
      </w:r>
    </w:p>
    <w:p>
      <w:pPr>
        <w:numPr>
          <w:ilvl w:val="0"/>
          <w:numId w:val="1018"/>
        </w:numPr>
        <w:pStyle w:val="Compact"/>
      </w:pPr>
      <w:r>
        <w:t xml:space="preserve">Circular/Take-back Programs (`xrgezxzkzy`): The established take-back program with refurbishment options further minimizes actual waste to landfill and extends product life, leading to avoided emissions not explicitly calculated here but acknowledged as a significant benefit. Circular economy practices demonstrably reduce greenhouse gas emissions by minimizing raw material extraction and production, and by extending product lifecycles.</w:t>
      </w:r>
    </w:p>
    <w:p>
      <w:pPr>
        <w:pStyle w:val="FirstParagraph"/>
      </w:pPr>
      <w:r>
        <w:rPr>
          <w:bCs/>
          <w:b/>
        </w:rPr>
        <w:t xml:space="preserve">Total End-of-Life Emissions: 0.30 kgCO2e</w:t>
      </w:r>
    </w:p>
    <w:bookmarkEnd w:id="46"/>
    <w:bookmarkEnd w:id="47"/>
    <w:bookmarkStart w:id="48" w:name="X9b8f96e5fd6ec30b02c91cc11d45f1568d9808c"/>
    <w:p>
      <w:pPr>
        <w:pStyle w:val="Heading3"/>
      </w:pPr>
      <w:r>
        <w:t xml:space="preserve">4.4.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31.15</w:t>
            </w:r>
          </w:p>
        </w:tc>
        <w:tc>
          <w:tcPr/>
          <w:p>
            <w:pPr>
              <w:pStyle w:val="Compact"/>
              <w:jc w:val="left"/>
            </w:pPr>
            <w:r>
              <w:t xml:space="preserve">56.3%</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2.40</w:t>
            </w:r>
          </w:p>
        </w:tc>
        <w:tc>
          <w:tcPr/>
          <w:p>
            <w:pPr>
              <w:pStyle w:val="Compact"/>
              <w:jc w:val="left"/>
            </w:pPr>
            <w:r>
              <w:t xml:space="preserve">4.3%</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0.34</w:t>
            </w:r>
          </w:p>
        </w:tc>
        <w:tc>
          <w:tcPr/>
          <w:p>
            <w:pPr>
              <w:pStyle w:val="Compact"/>
              <w:jc w:val="left"/>
            </w:pPr>
            <w:r>
              <w:t xml:space="preserve">0.6%</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0.06</w:t>
            </w:r>
          </w:p>
        </w:tc>
        <w:tc>
          <w:tcPr/>
          <w:p>
            <w:pPr>
              <w:pStyle w:val="Compact"/>
              <w:jc w:val="left"/>
            </w:pPr>
            <w:r>
              <w:t xml:space="preserve">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c>
          <w:tcPr/>
          <w:p>
            <w:pPr>
              <w:pStyle w:val="Compact"/>
              <w:jc w:val="left"/>
            </w:pPr>
            <w:r>
              <w:t xml:space="preserve">36.2%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w:t>
            </w:r>
          </w:p>
        </w:tc>
        <w:tc>
          <w:tcPr/>
          <w:p>
            <w:pPr>
              <w:pStyle w:val="Compact"/>
              <w:jc w:val="left"/>
            </w:pPr>
            <w:r>
              <w:t xml:space="preserve">0.5%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54.25</w:t>
            </w:r>
          </w:p>
        </w:tc>
        <w:tc>
          <w:tcPr/>
          <w:p>
            <w:pPr>
              <w:pStyle w:val="Compact"/>
              <w:jc w:val="left"/>
            </w:pPr>
            <w:r>
              <w:rPr>
                <w:bCs/>
                <w:b/>
              </w:rPr>
              <w:t xml:space="preserve">100.0%</w:t>
            </w:r>
          </w:p>
        </w:tc>
      </w:tr>
    </w:tbl>
    <w:p>
      <w:pPr>
        <w:pStyle w:val="BodyText"/>
      </w:pPr>
      <w:r>
        <w:rPr>
          <w:bCs/>
          <w:b/>
        </w:rPr>
        <w:t xml:space="preserve">Total PCF for 1.0 unit of mdtvnlnxwv: 54.25 kgCO2e</w:t>
      </w:r>
    </w:p>
    <w:p>
      <w:r>
        <w:pict>
          <v:rect style="width:0;height:1.5pt" o:hralign="center" o:hrstd="t" o:hr="t"/>
        </w:pict>
      </w:r>
    </w:p>
    <w:bookmarkEnd w:id="48"/>
    <w:bookmarkEnd w:id="49"/>
    <w:bookmarkStart w:id="53" w:name="review-report-hotspots-and-reliability"/>
    <w:p>
      <w:pPr>
        <w:pStyle w:val="Heading2"/>
      </w:pPr>
      <w:r>
        <w:t xml:space="preserve">5. Review &amp; Report: Hotspots and Reliability</w:t>
      </w:r>
    </w:p>
    <w:bookmarkStart w:id="50" w:name="emission-hotspots-identification"/>
    <w:p>
      <w:pPr>
        <w:pStyle w:val="Heading3"/>
      </w:pPr>
      <w:r>
        <w:t xml:space="preserve">5.1. Emission Hotspots Identification</w:t>
      </w:r>
    </w:p>
    <w:p>
      <w:pPr>
        <w:pStyle w:val="FirstParagraph"/>
      </w:pPr>
      <w:r>
        <w:t xml:space="preserve">The analysis reveals the following major emission hotspots for mdtvnlnxwv:</w:t>
      </w:r>
    </w:p>
    <w:p>
      <w:pPr>
        <w:numPr>
          <w:ilvl w:val="0"/>
          <w:numId w:val="1019"/>
        </w:numPr>
        <w:pStyle w:val="Compact"/>
      </w:pPr>
      <w:r>
        <w:rPr>
          <w:bCs/>
          <w:b/>
        </w:rPr>
        <w:t xml:space="preserve">Material Acquisition &amp; Pre-processing (Scope 3, Category 1):</w:t>
      </w:r>
      <w:r>
        <w:t xml:space="preserve"> </w:t>
      </w:r>
      <w:r>
        <w:t xml:space="preserve">This stage represents the most significant hotspot, accounting for approximately 56.3% of the total PCF. The Lithium-ion Battery and Aluminium Casing are particularly high contributors due to their energy-intensive production processes.</w:t>
      </w:r>
    </w:p>
    <w:p>
      <w:pPr>
        <w:numPr>
          <w:ilvl w:val="0"/>
          <w:numId w:val="1019"/>
        </w:numPr>
        <w:pStyle w:val="Compact"/>
      </w:pPr>
      <w:r>
        <w:rPr>
          <w:bCs/>
          <w:b/>
        </w:rPr>
        <w:t xml:space="preserve">Use Phase (Scope 3, Category 11):</w:t>
      </w:r>
      <w:r>
        <w:t xml:space="preserve"> </w:t>
      </w:r>
      <w:r>
        <w:t xml:space="preserve">The energy consumed during the product\'s 5-year lifespan contributes substantially, making up about 36.2% of the total PCF. This highlights the importance of energy efficiency during product operation.</w:t>
      </w:r>
    </w:p>
    <w:p>
      <w:pPr>
        <w:numPr>
          <w:ilvl w:val="0"/>
          <w:numId w:val="1019"/>
        </w:numPr>
        <w:pStyle w:val="Compact"/>
      </w:pPr>
      <w:r>
        <w:rPr>
          <w:bCs/>
          <w:b/>
        </w:rPr>
        <w:t xml:space="preserve">Production Energy (Scope 2):</w:t>
      </w:r>
      <w:r>
        <w:t xml:space="preserve"> </w:t>
      </w:r>
      <w:r>
        <w:t xml:space="preserve">While significant, the impact is mitigated by the 60% renewable energy usage. Without this, the emissions from the Chinese grid mix would be considerably higher.</w:t>
      </w:r>
    </w:p>
    <w:bookmarkEnd w:id="50"/>
    <w:bookmarkStart w:id="51" w:name="reliability-and-data-quality"/>
    <w:p>
      <w:pPr>
        <w:pStyle w:val="Heading3"/>
      </w:pPr>
      <w:r>
        <w:t xml:space="preserve">5.2. Reliability and Data Quality</w:t>
      </w:r>
    </w:p>
    <w:p>
      <w:pPr>
        <w:pStyle w:val="FirstParagraph"/>
      </w:pPr>
      <w:r>
        <w:t xml:space="preserve">The reliability of this PCF is enhanced by using specified parameters and a structured methodology. However, it\'s important to acknowledge the following:</w:t>
      </w:r>
    </w:p>
    <w:p>
      <w:pPr>
        <w:numPr>
          <w:ilvl w:val="0"/>
          <w:numId w:val="1020"/>
        </w:numPr>
        <w:pStyle w:val="Compact"/>
      </w:pPr>
      <w:r>
        <w:rPr>
          <w:bCs/>
          <w:b/>
        </w:rPr>
        <w:t xml:space="preserve">Secondary Data Reliance:</w:t>
      </w:r>
      <w:r>
        <w:t xml:space="preserve"> </w:t>
      </w:r>
      <w:r>
        <w:t xml:space="preserve">While primary data for energy intensity, renewable usage, lifespan, and in-use consumption were utilized, emission factors for materials and transportation modes are based on industry averages (secondary data). In a real-world scenario, more granular, supplier-specific primary data for all BOM items and logistics would further increase accuracy. The GHG Protocol\'s 2026 revisions emphasize mandatory data disaggregation by source type to highlight data quality.</w:t>
      </w:r>
    </w:p>
    <w:p>
      <w:pPr>
        <w:numPr>
          <w:ilvl w:val="0"/>
          <w:numId w:val="1020"/>
        </w:numPr>
        <w:pStyle w:val="Compact"/>
      </w:pPr>
      <w:r>
        <w:rPr>
          <w:bCs/>
          <w:b/>
        </w:rPr>
        <w:t xml:space="preserve">Assumptions:</w:t>
      </w:r>
      <w:r>
        <w:t xml:space="preserve"> </w:t>
      </w:r>
      <w:r>
        <w:t xml:space="preserve">Assumptions were made for placeholder values for transport distances (e.g., last-mile), specific electricity grid mix factors for China and Europe, and generic EoL disposal factors.</w:t>
      </w:r>
    </w:p>
    <w:p>
      <w:pPr>
        <w:numPr>
          <w:ilvl w:val="0"/>
          <w:numId w:val="1020"/>
        </w:numPr>
        <w:pStyle w:val="Compact"/>
      </w:pPr>
      <w:r>
        <w:rPr>
          <w:bCs/>
          <w:b/>
        </w:rPr>
        <w:t xml:space="preserve">Scope 3 Coverage:</w:t>
      </w:r>
      <w:r>
        <w:t xml:space="preserve"> </w:t>
      </w:r>
      <w:r>
        <w:t xml:space="preserve">The calculation provides a robust estimate for the major Scope 3 categories, aligning with the 95% coverage requirement of the GHG Protocol\'s 2026 updates. Further detailed engagement with suppliers across the value chain would ensure even higher granularity and primary data integration.</w:t>
      </w:r>
    </w:p>
    <w:p>
      <w:pPr>
        <w:numPr>
          <w:ilvl w:val="0"/>
          <w:numId w:val="1020"/>
        </w:numPr>
        <w:pStyle w:val="Compact"/>
      </w:pPr>
      <w:r>
        <w:rPr>
          <w:bCs/>
          <w:b/>
        </w:rPr>
        <w:t xml:space="preserve">LSR Standard Application:</w:t>
      </w:r>
      <w:r>
        <w:t xml:space="preserve"> </w:t>
      </w:r>
      <w:r>
        <w:t xml:space="preserve">While the LSR Standard v1.0, effective January 1, 2027, has been considered, specific calculations for land-based emissions and removals from raw material extraction were not performed due to data limitations within the \'factory_gate\' boundary and the general nature of the product. These would require in-depth supply chain assessments for land-intensive inputs.</w:t>
      </w:r>
    </w:p>
    <w:bookmarkEnd w:id="51"/>
    <w:bookmarkStart w:id="52" w:name="recommendations-for-reduction"/>
    <w:p>
      <w:pPr>
        <w:pStyle w:val="Heading3"/>
      </w:pPr>
      <w:r>
        <w:t xml:space="preserve">5.3. Recommendations for Reduction</w:t>
      </w:r>
    </w:p>
    <w:p>
      <w:pPr>
        <w:numPr>
          <w:ilvl w:val="0"/>
          <w:numId w:val="1021"/>
        </w:numPr>
        <w:pStyle w:val="Compact"/>
      </w:pPr>
      <w:r>
        <w:rPr>
          <w:bCs/>
          <w:b/>
        </w:rPr>
        <w:t xml:space="preserve">Material Optimization:</w:t>
      </w:r>
      <w:r>
        <w:t xml:space="preserve"> </w:t>
      </w:r>
      <w:r>
        <w:t xml:space="preserve">Focus on reducing the material impact of high-emission components like the Lithium-ion Battery and Aluminium Casing. This could involve exploring alternative materials with lower embodied carbon, increasing recycled content, or optimizing design for lighter weight and material efficiency. Using more recycled aluminum can reduce the carbon footprint by 94% compared to primary production.</w:t>
      </w:r>
    </w:p>
    <w:p>
      <w:pPr>
        <w:numPr>
          <w:ilvl w:val="0"/>
          <w:numId w:val="1021"/>
        </w:numPr>
        <w:pStyle w:val="Compact"/>
      </w:pPr>
      <w:r>
        <w:rPr>
          <w:bCs/>
          <w:b/>
        </w:rPr>
        <w:t xml:space="preserve">Energy Efficiency in Use:</w:t>
      </w:r>
      <w:r>
        <w:t xml:space="preserve"> </w:t>
      </w:r>
      <w:r>
        <w:t xml:space="preserve">Investigate opportunities to reduce the energy consumption of mdtvnlnxwv during its use phase. This could involve design improvements for greater efficiency or promoting renewable energy use by end-users.</w:t>
      </w:r>
    </w:p>
    <w:p>
      <w:pPr>
        <w:numPr>
          <w:ilvl w:val="0"/>
          <w:numId w:val="1021"/>
        </w:numPr>
        <w:pStyle w:val="Compact"/>
      </w:pPr>
      <w:r>
        <w:rPr>
          <w:bCs/>
          <w:b/>
        </w:rPr>
        <w:t xml:space="preserve">Supply Chain Engagement:</w:t>
      </w:r>
      <w:r>
        <w:t xml:space="preserve"> </w:t>
      </w:r>
      <w:r>
        <w:t xml:space="preserve">Collaborate with suppliers to obtain more primary data for material and component production, and encourage them to adopt lower-carbon manufacturing processes and renewable energy sources. This is critical for achieving high Scope 3 data quality.</w:t>
      </w:r>
    </w:p>
    <w:p>
      <w:pPr>
        <w:numPr>
          <w:ilvl w:val="0"/>
          <w:numId w:val="1021"/>
        </w:numPr>
        <w:pStyle w:val="Compact"/>
      </w:pPr>
      <w:r>
        <w:rPr>
          <w:bCs/>
          <w:b/>
        </w:rPr>
        <w:t xml:space="preserve">Enhance Circularity:</w:t>
      </w:r>
      <w:r>
        <w:t xml:space="preserve"> </w:t>
      </w:r>
      <w:r>
        <w:t xml:space="preserve">Leverage the existing circular/take-back programs to their fullest potential, exploring options for greater refurbishment, remanufacturing, and closed-loop recycling. The circular economy model is essential for minimizing waste, conserving resources, and significantly reducing GHG emissions.</w:t>
      </w:r>
    </w:p>
    <w:p>
      <w:r>
        <w:pict>
          <v:rect style="width:0;height:1.5pt" o:hralign="center" o:hrstd="t" o:hr="t"/>
        </w:pic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mdtvnlnxwv</dc:title>
  <dc:creator/>
  <dc:description>High-detail Product Carbon Footprint (PCF) analysis report for product mdtvnlnxwv by yelygknijy, adhering to GHG Protocol and 2026 updates.</dc:description>
  <dc:language>en</dc:language>
  <cp:keywords/>
  <dcterms:created xsi:type="dcterms:W3CDTF">2026-05-30T18:17:46Z</dcterms:created>
  <dcterms:modified xsi:type="dcterms:W3CDTF">2026-05-30T18:17:46Z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