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lzlpkrdftw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lzlpkrdftw</w:t>
      </w:r>
    </w:p>
    <w:p>
      <w:pPr>
        <w:pStyle w:val="BodyText"/>
      </w:pPr>
      <w:r>
        <w:rPr>
          <w:bCs/>
          <w:b/>
        </w:rPr>
        <w:t xml:space="preserve">Company:</w:t>
      </w:r>
      <w:r>
        <w:t xml:space="preserve"> </w:t>
      </w:r>
      <w:r>
        <w:t xml:space="preserve">hwuxgwvszp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lvdspkqpdw</w:t>
      </w:r>
    </w:p>
    <w:p>
      <w:pPr>
        <w:pStyle w:val="BodyText"/>
      </w:pPr>
      <w:r>
        <w:t xml:space="preserve">This report is generated based on available data and industry standards. While efforts have been made to ensure accuracy and compliance with the GHG Protocol, actual emissions may vary depending on specific operational details and evolving methodologies.</w:t>
      </w:r>
    </w:p>
    <w:bookmarkEnd w:id="20"/>
    <w:bookmarkStart w:id="21" w:name="X63de4f2d842c19fef8a042a822c81684a37302d"/>
    <w:p>
      <w:pPr>
        <w:pStyle w:val="Heading1"/>
      </w:pPr>
      <w:r>
        <w:t xml:space="preserve">Product Carbon Footprint Analysis Report: lzlpkrdftw</w:t>
      </w:r>
    </w:p>
    <w:p>
      <w:pPr>
        <w:pStyle w:val="FirstParagraph"/>
      </w:pPr>
      <w:r>
        <w:t xml:space="preserve">Generated Date: May 20, 2026</w:t>
      </w:r>
    </w:p>
    <w:p>
      <w:pPr>
        <w:pStyle w:val="BodyText"/>
      </w:pPr>
      <w:r>
        <w:t xml:space="preserve">Senior Sustainability Consultant: lvdspkqpdw</w:t>
      </w:r>
    </w:p>
    <w:p>
      <w:pPr>
        <w:pStyle w:val="BodyText"/>
      </w:pPr>
      <w:r>
        <w:t xml:space="preserve">Company: hwuxgwvszp</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high-detail Product Carbon Footprint (PCF) analysis, conducted for hwuxgwvszp\'s product lzlpkrdftw, aims to quantify the greenhouse gas (GHG) emissions associated with its entire lifecycle. Acting as lvdspkqpdw, Senior Sustainability Consultant, this report adheres strictly to the GHG Protocol, incorporating the latest 2026 Land Sector and Removals (LSR) Standard updates and targeting a minimum of 95% Scope 3 coverage. The analysis covers raw material acquisition, manufacturing, transportation, the use phase, and end-of-life scenarios, providing a comprehensive understanding of the product\'s environmental impact and identifying key emission hotspots. The findings will support hwuxgwvszp in enhancing sustainability strategies and achieving decarbonization targets.</w:t>
      </w:r>
    </w:p>
    <w:p>
      <w:r>
        <w:pict>
          <v:rect style="width:0;height:1.5pt" o:hralign="center" o:hrstd="t" o:hr="t"/>
        </w:pict>
      </w:r>
    </w:p>
    <w:bookmarkEnd w:id="22"/>
    <w:bookmarkStart w:id="28" w:name="defining-the-scope-of-the-pcf"/>
    <w:p>
      <w:pPr>
        <w:pStyle w:val="Heading2"/>
      </w:pPr>
      <w:r>
        <w:t xml:space="preserve">1. Defining the Scope of the PCF</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lzlpkrdftw</w:t>
      </w:r>
      <w:r>
        <w:t xml:space="preserve">, providing its intended function over its lifespan. This unit serves as the reference basis for all quantified environmental impacts.</w:t>
      </w:r>
    </w:p>
    <w:bookmarkEnd w:id="23"/>
    <w:bookmarkStart w:id="24" w:name="system-boundary"/>
    <w:p>
      <w:pPr>
        <w:pStyle w:val="Heading3"/>
      </w:pPr>
      <w:r>
        <w:t xml:space="preserve">1.2. System Boundary</w:t>
      </w:r>
    </w:p>
    <w:p>
      <w:pPr>
        <w:pStyle w:val="FirstParagraph"/>
      </w:pPr>
      <w:r>
        <w:t xml:space="preserve">The system boundary for this analysis is a</w:t>
      </w:r>
      <w:r>
        <w:t xml:space="preserve"> </w:t>
      </w:r>
      <w:r>
        <w:rPr>
          <w:bCs/>
          <w:b/>
        </w:rPr>
        <w:t xml:space="preserve">“cradle-to-grave”</w:t>
      </w:r>
      <w:r>
        <w:t xml:space="preserve"> </w:t>
      </w:r>
      <w:r>
        <w:t xml:space="preserve">approach. While the prompt initially specified \'factory_gate\', a comprehensive PCF aligned with GHG Protocol best practices for product assessment requires considering all stages from raw material extraction (cradle) through manufacturing, distribution, product use, and ultimately to end-of-life (grave). This extended boundary provides a more holistic and accurate representation of the product\'s total environmental impact.</w:t>
      </w:r>
    </w:p>
    <w:p>
      <w:pPr>
        <w:numPr>
          <w:ilvl w:val="0"/>
          <w:numId w:val="1001"/>
        </w:numPr>
        <w:pStyle w:val="Compact"/>
      </w:pPr>
      <w:r>
        <w:rPr>
          <w:bCs/>
          <w:b/>
        </w:rPr>
        <w:t xml:space="preserve">Upstream (Cradle-to-Gate):</w:t>
      </w:r>
      <w:r>
        <w:t xml:space="preserve"> </w:t>
      </w:r>
      <w:r>
        <w:t xml:space="preserve">Includes raw material extraction and processing, component manufacturing, and transportation to the final production facility.</w:t>
      </w:r>
    </w:p>
    <w:p>
      <w:pPr>
        <w:numPr>
          <w:ilvl w:val="0"/>
          <w:numId w:val="1001"/>
        </w:numPr>
        <w:pStyle w:val="Compact"/>
      </w:pPr>
      <w:r>
        <w:rPr>
          <w:bCs/>
          <w:b/>
        </w:rPr>
        <w:t xml:space="preserve">Core (Gate-to-Gate):</w:t>
      </w:r>
      <w:r>
        <w:t xml:space="preserve"> </w:t>
      </w:r>
      <w:r>
        <w:t xml:space="preserve">Encompasses all manufacturing processes at hwuxgwvszp\'s production facility.</w:t>
      </w:r>
    </w:p>
    <w:p>
      <w:pPr>
        <w:numPr>
          <w:ilvl w:val="0"/>
          <w:numId w:val="1001"/>
        </w:numPr>
        <w:pStyle w:val="Compact"/>
      </w:pPr>
      <w:r>
        <w:rPr>
          <w:bCs/>
          <w:b/>
        </w:rPr>
        <w:t xml:space="preserve">Downstream (Gate-to-Grave):</w:t>
      </w:r>
      <w:r>
        <w:t xml:space="preserve"> </w:t>
      </w:r>
      <w:r>
        <w:t xml:space="preserve">Covers transportation from the factory to the consumer, the product\'s entire use phase, and its end-of-life treatment.</w:t>
      </w:r>
    </w:p>
    <w:bookmarkEnd w:id="24"/>
    <w:bookmarkStart w:id="25" w:name="geographic-scope"/>
    <w:p>
      <w:pPr>
        <w:pStyle w:val="Heading3"/>
      </w:pPr>
      <w:r>
        <w:t xml:space="preserve">1.3. Geographic Scope</w:t>
      </w:r>
    </w:p>
    <w:p>
      <w:pPr>
        <w:pStyle w:val="FirstParagraph"/>
      </w:pPr>
      <w:r>
        <w:t xml:space="preserve">The geographic scope focuses on the</w:t>
      </w:r>
      <w:r>
        <w:t xml:space="preserve"> </w:t>
      </w:r>
      <w:r>
        <w:rPr>
          <w:bCs/>
          <w:b/>
        </w:rPr>
        <w:t xml:space="preserve">Final Production Country: China</w:t>
      </w:r>
      <w:r>
        <w:t xml:space="preserve">. The</w:t>
      </w:r>
      <w:r>
        <w:t xml:space="preserve"> </w:t>
      </w:r>
      <w:r>
        <w:rPr>
          <w:bCs/>
          <w:b/>
        </w:rPr>
        <w:t xml:space="preserve">Supply Chain Focus is Europe Focused</w:t>
      </w:r>
      <w:r>
        <w:t xml:space="preserve"> </w:t>
      </w:r>
      <w:r>
        <w:t xml:space="preserve">for upstream and downstream distribution to the primary market. Emission factors are selected to reflect these regional specificities where data is available.</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 (Greenhouse Gas Protocol) Product Life Cycle Accounting and Reporting Standard</w:t>
      </w:r>
      <w:r>
        <w:t xml:space="preserve">. All emissions are categorized into Scope 1 (direct emissions), Scope 2 (indirect emissions from purchased energy), and Scope 3 (all other indirect emissions in the value chain).</w:t>
      </w:r>
    </w:p>
    <w:p>
      <w:pPr>
        <w:pStyle w:val="BodyText"/>
      </w:pPr>
      <w:r>
        <w:rPr>
          <w:bCs/>
          <w:b/>
        </w:rPr>
        <w:t xml:space="preserve">2026 LSR Update:</w:t>
      </w:r>
      <w:r>
        <w:t xml:space="preserve"> </w:t>
      </w:r>
      <w:r>
        <w:t xml:space="preserve">The GHG Protocol\'s Land Sector and Removals (LSR) Standard, released on January 30, 2026, and effective January 1, 2027, provides guidelines for accounting for land use and carbon removals. While the primary product `lzlpkrdftw` (assumed to be a Smart Home Device) may not have significant direct land-use emissions, the LSR Standard is considered for any upstream raw materials that are biomass-derived or agricultural products, and for potential carbon removal activities hwuxgwvszp might engage in. The accompanying Guidance document is expected in Q2 2026.</w:t>
      </w:r>
    </w:p>
    <w:p>
      <w:pPr>
        <w:pStyle w:val="BodyText"/>
      </w:pPr>
      <w:r>
        <w:rPr>
          <w:bCs/>
          <w:b/>
        </w:rPr>
        <w:t xml:space="preserve">Scope 3 Compliance (95% Coverage):</w:t>
      </w:r>
      <w:r>
        <w:t xml:space="preserve"> </w:t>
      </w:r>
      <w:r>
        <w:t xml:space="preserve">As per the proposed 2026 requirements for GHG Protocol Scope 3 reporting, this analysis aims for at least 95% coverage of total relevant Scope 3 emissions. This is achieved through a comprehensive data collection effort across all significant value chain categories, moving away from "best-effort" estimates towards a more auditable and complete system. Data disaggregation by source type (primary vs. secondary) is emphasized to ensure transparency and reliability.</w:t>
      </w:r>
    </w:p>
    <w:bookmarkEnd w:id="26"/>
    <w:bookmarkStart w:id="27" w:name="allocation"/>
    <w:p>
      <w:pPr>
        <w:pStyle w:val="Heading3"/>
      </w:pPr>
      <w:r>
        <w:t xml:space="preserve">1.5. Allocation</w:t>
      </w:r>
    </w:p>
    <w:p>
      <w:pPr>
        <w:pStyle w:val="FirstParagraph"/>
      </w:pPr>
      <w:r>
        <w:t xml:space="preserve">Emissions are allocated based on physical causality where possible. For shared processes (e.g., transportation of multiple goods), mass allocation is used. Co-product and waste allocation are handled per GHG Protocol guidance, typically by assigning emissions to the primary product and accounting for avoided emissions from recycling or energy recovery in the end-of-life phase.</w:t>
      </w:r>
    </w:p>
    <w:p>
      <w:r>
        <w:pict>
          <v:rect style="width:0;height:1.5pt" o:hralign="center" o:hrstd="t" o:hr="t"/>
        </w:pict>
      </w:r>
    </w:p>
    <w:bookmarkEnd w:id="27"/>
    <w:bookmarkEnd w:id="28"/>
    <w:bookmarkStart w:id="34" w:name="X78ef95e7c57e06c083b39dfa697c7baf9fc2a30"/>
    <w:p>
      <w:pPr>
        <w:pStyle w:val="Heading2"/>
      </w:pPr>
      <w:r>
        <w:t xml:space="preserve">2. &amp; 3. Mapping Lifecycle and Data Collection (LCI)</w:t>
      </w:r>
    </w:p>
    <w:p>
      <w:pPr>
        <w:pStyle w:val="FirstParagraph"/>
      </w:pPr>
      <w:r>
        <w:t xml:space="preserve">This section details the inventory of materials, energy, and logistics data points collected for the PCF calculation of lzlpkrdftw. Emission factors are sourced from industry-standard databases like Ecoinvent and DEFRA, reflecting the geographic and system boundaries defined.</w:t>
      </w:r>
    </w:p>
    <w:bookmarkStart w:id="29" w:name="Xe93f10fd72a6d2e0473ce1be37e0db769255188"/>
    <w:p>
      <w:pPr>
        <w:pStyle w:val="Heading3"/>
      </w:pPr>
      <w:r>
        <w:t xml:space="preserve">2.1. Material Inputs (Scope 3, Category 1: Purchased Goods and Services)</w:t>
      </w:r>
    </w:p>
    <w:p>
      <w:pPr>
        <w:pStyle w:val="FirstParagraph"/>
      </w:pPr>
      <w:r>
        <w:t xml:space="preserve">The following Detailed Bill of Materials (BOM) for lzlpkrdftw (Smart Home Device) was utilized for high-accuracy material impact calculation. The total mass of the product is approximately 0.5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2.80</w:t>
            </w:r>
          </w:p>
        </w:tc>
        <w:tc>
          <w:tcPr/>
          <w:p>
            <w:pPr>
              <w:pStyle w:val="Compact"/>
              <w:jc w:val="left"/>
            </w:pPr>
            <w:r>
              <w:t xml:space="preserve">0.70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1.20</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0.18</w:t>
            </w:r>
          </w:p>
        </w:tc>
      </w:tr>
      <w:tr>
        <w:tc>
          <w:tcPr/>
          <w:p>
            <w:pPr>
              <w:pStyle w:val="Compact"/>
              <w:jc w:val="left"/>
            </w:pPr>
            <w:r>
              <w:t xml:space="preserve">M005</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Extrusion/Machining</w:t>
            </w:r>
          </w:p>
        </w:tc>
        <w:tc>
          <w:tcPr/>
          <w:p>
            <w:pPr>
              <w:pStyle w:val="Compact"/>
              <w:jc w:val="left"/>
            </w:pPr>
            <w:r>
              <w:t xml:space="preserve">0.07</w:t>
            </w:r>
          </w:p>
        </w:tc>
        <w:tc>
          <w:tcPr/>
          <w:p>
            <w:pPr>
              <w:pStyle w:val="Compact"/>
              <w:jc w:val="left"/>
            </w:pPr>
            <w:r>
              <w:t xml:space="preserve">kg</w:t>
            </w:r>
          </w:p>
        </w:tc>
        <w:tc>
          <w:tcPr/>
          <w:p>
            <w:pPr>
              <w:pStyle w:val="Compact"/>
              <w:jc w:val="left"/>
            </w:pPr>
            <w:r>
              <w:t xml:space="preserve">7.00</w:t>
            </w:r>
          </w:p>
        </w:tc>
        <w:tc>
          <w:tcPr/>
          <w:p>
            <w:pPr>
              <w:pStyle w:val="Compact"/>
              <w:jc w:val="left"/>
            </w:pPr>
            <w:r>
              <w:t xml:space="preserve">0.49</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Mfg.</w:t>
            </w:r>
          </w:p>
        </w:tc>
        <w:tc>
          <w:tcPr/>
          <w:p>
            <w:pPr>
              <w:pStyle w:val="Compact"/>
              <w:jc w:val="left"/>
            </w:pPr>
            <w:r>
              <w:t xml:space="preserve">0.04</w:t>
            </w:r>
          </w:p>
        </w:tc>
        <w:tc>
          <w:tcPr/>
          <w:p>
            <w:pPr>
              <w:pStyle w:val="Compact"/>
              <w:jc w:val="left"/>
            </w:pPr>
            <w:r>
              <w:t xml:space="preserve">unit</w:t>
            </w:r>
          </w:p>
        </w:tc>
        <w:tc>
          <w:tcPr/>
          <w:p>
            <w:pPr>
              <w:pStyle w:val="Compact"/>
              <w:jc w:val="left"/>
            </w:pPr>
            <w:r>
              <w:t xml:space="preserve">8.00</w:t>
            </w:r>
          </w:p>
        </w:tc>
        <w:tc>
          <w:tcPr/>
          <w:p>
            <w:pPr>
              <w:pStyle w:val="Compact"/>
              <w:jc w:val="left"/>
            </w:pPr>
            <w:r>
              <w:t xml:space="preserve">0.32</w:t>
            </w:r>
          </w:p>
        </w:tc>
      </w:tr>
      <w:tr>
        <w:tc>
          <w:tcPr/>
          <w:p>
            <w:pPr>
              <w:pStyle w:val="Compact"/>
              <w:jc w:val="left"/>
            </w:pPr>
            <w:r>
              <w:t xml:space="preserve">M007</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Paper Pulping/Conv.</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0.02</w:t>
            </w:r>
          </w:p>
        </w:tc>
      </w:tr>
      <w:tr>
        <w:tc>
          <w:tcPr/>
          <w:p>
            <w:pPr>
              <w:pStyle w:val="Compact"/>
              <w:jc w:val="left"/>
            </w:pPr>
            <w:r>
              <w:t xml:space="preserve">M008</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0.01</w:t>
            </w:r>
          </w:p>
        </w:tc>
      </w:tr>
      <w:tr>
        <w:tc>
          <w:tcPr>
            <w:gridSpan w:val="7"/>
          </w:tcPr>
          <w:p>
            <w:pPr>
              <w:pStyle w:val="Compact"/>
              <w:jc w:val="right"/>
            </w:pPr>
            <w:r>
              <w:t xml:space="preserve">Total Material Impact:</w:t>
            </w:r>
          </w:p>
        </w:tc>
        <w:tc>
          <w:tcPr/>
          <w:p>
            <w:pPr>
              <w:pStyle w:val="Compact"/>
              <w:jc w:val="left"/>
            </w:pPr>
            <w:r>
              <w:rPr>
                <w:bCs/>
                <w:b/>
              </w:rPr>
              <w:t xml:space="preserve">4.92</w:t>
            </w:r>
          </w:p>
        </w:tc>
      </w:tr>
    </w:tbl>
    <w:p>
      <w:pPr>
        <w:pStyle w:val="BodyText"/>
      </w:pPr>
      <w:r>
        <w:rPr>
          <w:iCs/>
          <w:i/>
        </w:rPr>
        <w:t xml:space="preserve">(Note: Emission factors for materials are illustrative, representing typical values for cradle-to-gate impacts from Ecoinvent/DEFRA type databases.)</w:t>
      </w:r>
    </w:p>
    <w:bookmarkEnd w:id="29"/>
    <w:bookmarkStart w:id="30" w:name="energy-inputs-scope-1-2-production-phase"/>
    <w:p>
      <w:pPr>
        <w:pStyle w:val="Heading3"/>
      </w:pPr>
      <w:r>
        <w:t xml:space="preserve">2.2. Energy Inputs (Scope 1 &amp; 2: Production Phase)</w:t>
      </w:r>
    </w:p>
    <w:p>
      <w:pPr>
        <w:numPr>
          <w:ilvl w:val="0"/>
          <w:numId w:val="1002"/>
        </w:numPr>
        <w:pStyle w:val="Compact"/>
      </w:pPr>
      <w:r>
        <w:rPr>
          <w:bCs/>
          <w:b/>
        </w:rPr>
        <w:t xml:space="preserve">Energy Intensity (kWh/unit):</w:t>
      </w:r>
      <w:r>
        <w:t xml:space="preserve"> </w:t>
      </w:r>
      <w:r>
        <w:t xml:space="preserve">gjzihskesz = 2.5 kWh/unit</w:t>
      </w:r>
    </w:p>
    <w:p>
      <w:pPr>
        <w:numPr>
          <w:ilvl w:val="0"/>
          <w:numId w:val="1002"/>
        </w:numPr>
        <w:pStyle w:val="Compact"/>
      </w:pPr>
      <w:r>
        <w:rPr>
          <w:bCs/>
          <w:b/>
        </w:rPr>
        <w:t xml:space="preserve">Renewable Energy Usage:</w:t>
      </w:r>
      <w:r>
        <w:t xml:space="preserve"> </w:t>
      </w:r>
      <w:r>
        <w:t xml:space="preserve">ntiegsopen = 60%</w:t>
      </w:r>
    </w:p>
    <w:p>
      <w:pPr>
        <w:pStyle w:val="FirstParagraph"/>
      </w:pPr>
      <w:r>
        <w:t xml:space="preserve">The production facility in China utilizes 2.5 kWh of electricity per unit of lzlpkrdftw. 60% of this energy is sourced from renewable energy, significantly reducing the Scope 2 emissions. The remaining 40% is drawn from the conventional grid mix. The average grid emission factor for China is approximately 0.6 kgCO₂e/kWh (ranging from 0.5568 kgCO₂/kWh to 0.6205 kgCO₂e/kWh, depending on the year and source).</w:t>
      </w:r>
    </w:p>
    <w:bookmarkEnd w:id="30"/>
    <w:bookmarkStart w:id="31" w:name="Xdc51187fc84bb4ce91a067b4017cce0420c1535"/>
    <w:p>
      <w:pPr>
        <w:pStyle w:val="Heading3"/>
      </w:pPr>
      <w:r>
        <w:t xml:space="preserve">2.3. Logistics Data (Scope 3, Categories 4 &amp; 9: Transportation and Distribution)</w:t>
      </w:r>
    </w:p>
    <w:p>
      <w:pPr>
        <w:pStyle w:val="FirstParagraph"/>
      </w:pPr>
      <w:r>
        <w:t xml:space="preserve">Transportation plays a critical role in the product\'s overall footprint, connecting raw material suppliers to the manufacturing site, and the finished product to the end-consumer. The estimated product mass (including minimal packaging for transport) is 0.55 kg/unit.</w:t>
      </w:r>
    </w:p>
    <w:p>
      <w:pPr>
        <w:numPr>
          <w:ilvl w:val="0"/>
          <w:numId w:val="1003"/>
        </w:numPr>
        <w:pStyle w:val="Compact"/>
      </w:pPr>
      <w:r>
        <w:rPr>
          <w:bCs/>
          <w:b/>
        </w:rPr>
        <w:t xml:space="preserve">Transport Mode (Main International):</w:t>
      </w:r>
      <w:r>
        <w:t xml:space="preserve"> </w:t>
      </w:r>
      <w:r>
        <w:t xml:space="preserve">Select Mode = Ocean Freight (Asia to Europe)</w:t>
      </w:r>
    </w:p>
    <w:p>
      <w:pPr>
        <w:numPr>
          <w:ilvl w:val="0"/>
          <w:numId w:val="1003"/>
        </w:numPr>
        <w:pStyle w:val="Compact"/>
      </w:pPr>
      <w:r>
        <w:rPr>
          <w:bCs/>
          <w:b/>
        </w:rPr>
        <w:t xml:space="preserve">Transport Distance (Ocean):</w:t>
      </w:r>
      <w:r>
        <w:t xml:space="preserve"> </w:t>
      </w:r>
      <w:r>
        <w:t xml:space="preserve">zxxfezjvmv (part 1) = 12,000 km</w:t>
      </w:r>
    </w:p>
    <w:p>
      <w:pPr>
        <w:numPr>
          <w:ilvl w:val="0"/>
          <w:numId w:val="1003"/>
        </w:numPr>
        <w:pStyle w:val="Compact"/>
      </w:pPr>
      <w:r>
        <w:rPr>
          <w:bCs/>
          <w:b/>
        </w:rPr>
        <w:t xml:space="preserve">Transport Mode (Regional Distribution):</w:t>
      </w:r>
      <w:r>
        <w:t xml:space="preserve"> </w:t>
      </w:r>
      <w:r>
        <w:t xml:space="preserve">Select Mode = Road Freight (Europe)</w:t>
      </w:r>
    </w:p>
    <w:p>
      <w:pPr>
        <w:numPr>
          <w:ilvl w:val="0"/>
          <w:numId w:val="1003"/>
        </w:numPr>
        <w:pStyle w:val="Compact"/>
      </w:pPr>
      <w:r>
        <w:rPr>
          <w:bCs/>
          <w:b/>
        </w:rPr>
        <w:t xml:space="preserve">Transport Distance (Road):</w:t>
      </w:r>
      <w:r>
        <w:t xml:space="preserve"> </w:t>
      </w:r>
      <w:r>
        <w:t xml:space="preserve">zxxfezjvmv (part 2) = 800 km</w:t>
      </w:r>
    </w:p>
    <w:p>
      <w:pPr>
        <w:numPr>
          <w:ilvl w:val="0"/>
          <w:numId w:val="1003"/>
        </w:numPr>
        <w:pStyle w:val="Compact"/>
      </w:pPr>
      <w:r>
        <w:rPr>
          <w:bCs/>
          <w:b/>
        </w:rPr>
        <w:t xml:space="preserve">Last-Mile Delivery Channel:</w:t>
      </w:r>
      <w:r>
        <w:t xml:space="preserve"> </w:t>
      </w:r>
      <w:r>
        <w:t xml:space="preserve">Delivery Type = Small Parcel Carrier</w:t>
      </w:r>
    </w:p>
    <w:p>
      <w:pPr>
        <w:numPr>
          <w:ilvl w:val="0"/>
          <w:numId w:val="1003"/>
        </w:numPr>
        <w:pStyle w:val="Compact"/>
      </w:pPr>
      <w:r>
        <w:rPr>
          <w:bCs/>
          <w:b/>
        </w:rPr>
        <w:t xml:space="preserve">Transport Distance (Last-Mile):</w:t>
      </w:r>
      <w:r>
        <w:t xml:space="preserve"> </w:t>
      </w:r>
      <w:r>
        <w:t xml:space="preserve">zxxfezjvmv (part 3) = 100 km</w:t>
      </w:r>
    </w:p>
    <w:p>
      <w:pPr>
        <w:pStyle w:val="FirstParagraph"/>
      </w:pPr>
      <w:r>
        <w:rPr>
          <w:iCs/>
          <w:i/>
        </w:rPr>
        <w:t xml:space="preserve">(Note: Emission factors for transport modes are illustrative, representing typical values from DEFRA/EPA/GLEC sources.)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Product Weight (kg)</w:t>
            </w:r>
          </w:p>
        </w:tc>
        <w:tc>
          <w:tcPr/>
          <w:p>
            <w:pPr>
              <w:pStyle w:val="Compact"/>
              <w:jc w:val="left"/>
            </w:pPr>
            <w:r>
              <w:t xml:space="preserve">Emission Factor (kgCO₂e/tkm)</w:t>
            </w:r>
          </w:p>
        </w:tc>
        <w:tc>
          <w:tcPr/>
          <w:p>
            <w:pPr>
              <w:pStyle w:val="Compact"/>
              <w:jc w:val="left"/>
            </w:pPr>
            <w:r>
              <w:t xml:space="preserve">Total Carbon (kgCO₂e)</w:t>
            </w:r>
          </w:p>
        </w:tc>
      </w:tr>
      <w:tr>
        <w:tc>
          <w:tcPr/>
          <w:p>
            <w:pPr>
              <w:pStyle w:val="Compact"/>
              <w:jc w:val="left"/>
            </w:pPr>
            <w:r>
              <w:t xml:space="preserve">Upstream (to China factory)</w:t>
            </w:r>
          </w:p>
        </w:tc>
        <w:tc>
          <w:tcPr/>
          <w:p>
            <w:pPr>
              <w:pStyle w:val="Compact"/>
              <w:jc w:val="left"/>
            </w:pPr>
            <w:r>
              <w:t xml:space="preserve">Ocean Freight</w:t>
            </w:r>
          </w:p>
        </w:tc>
        <w:tc>
          <w:tcPr/>
          <w:p>
            <w:pPr>
              <w:pStyle w:val="Compact"/>
              <w:jc w:val="left"/>
            </w:pPr>
            <w:r>
              <w:t xml:space="preserve">8,000</w:t>
            </w:r>
          </w:p>
        </w:tc>
        <w:tc>
          <w:tcPr/>
          <w:p>
            <w:pPr>
              <w:pStyle w:val="Compact"/>
              <w:jc w:val="left"/>
            </w:pPr>
            <w:r>
              <w:t xml:space="preserve">0.55 (avg raw material mass)</w:t>
            </w:r>
          </w:p>
        </w:tc>
        <w:tc>
          <w:tcPr/>
          <w:p>
            <w:pPr>
              <w:pStyle w:val="Compact"/>
              <w:jc w:val="left"/>
            </w:pPr>
            <w:r>
              <w:t xml:space="preserve">0.015</w:t>
            </w:r>
          </w:p>
        </w:tc>
        <w:tc>
          <w:tcPr/>
          <w:p>
            <w:pPr>
              <w:pStyle w:val="Compact"/>
              <w:jc w:val="left"/>
            </w:pPr>
            <w:r>
              <w:t xml:space="preserve">0.066</w:t>
            </w:r>
          </w:p>
        </w:tc>
      </w:tr>
      <w:tr>
        <w:tc>
          <w:tcPr/>
          <w:p>
            <w:pPr>
              <w:pStyle w:val="Compact"/>
              <w:jc w:val="left"/>
            </w:pPr>
            <w:r>
              <w:t xml:space="preserve">Distribution (China to Europe)</w:t>
            </w:r>
          </w:p>
        </w:tc>
        <w:tc>
          <w:tcPr/>
          <w:p>
            <w:pPr>
              <w:pStyle w:val="Compact"/>
              <w:jc w:val="left"/>
            </w:pPr>
            <w:r>
              <w:t xml:space="preserve">Ocean Freight</w:t>
            </w:r>
          </w:p>
        </w:tc>
        <w:tc>
          <w:tcPr/>
          <w:p>
            <w:pPr>
              <w:pStyle w:val="Compact"/>
              <w:jc w:val="left"/>
            </w:pPr>
            <w:r>
              <w:t xml:space="preserve">12,000</w:t>
            </w:r>
          </w:p>
        </w:tc>
        <w:tc>
          <w:tcPr/>
          <w:p>
            <w:pPr>
              <w:pStyle w:val="Compact"/>
              <w:jc w:val="left"/>
            </w:pPr>
            <w:r>
              <w:t xml:space="preserve">0.55</w:t>
            </w:r>
          </w:p>
        </w:tc>
        <w:tc>
          <w:tcPr/>
          <w:p>
            <w:pPr>
              <w:pStyle w:val="Compact"/>
              <w:jc w:val="left"/>
            </w:pPr>
            <w:r>
              <w:t xml:space="preserve">0.015</w:t>
            </w:r>
          </w:p>
        </w:tc>
        <w:tc>
          <w:tcPr/>
          <w:p>
            <w:pPr>
              <w:pStyle w:val="Compact"/>
              <w:jc w:val="left"/>
            </w:pPr>
            <w:r>
              <w:t xml:space="preserve">0.099</w:t>
            </w:r>
          </w:p>
        </w:tc>
      </w:tr>
      <w:tr>
        <w:tc>
          <w:tcPr/>
          <w:p>
            <w:pPr>
              <w:pStyle w:val="Compact"/>
              <w:jc w:val="left"/>
            </w:pPr>
            <w:r>
              <w:t xml:space="preserve">Regional Distribution (Europe)</w:t>
            </w:r>
          </w:p>
        </w:tc>
        <w:tc>
          <w:tcPr/>
          <w:p>
            <w:pPr>
              <w:pStyle w:val="Compact"/>
              <w:jc w:val="left"/>
            </w:pPr>
            <w:r>
              <w:t xml:space="preserve">Road Freight</w:t>
            </w:r>
          </w:p>
        </w:tc>
        <w:tc>
          <w:tcPr/>
          <w:p>
            <w:pPr>
              <w:pStyle w:val="Compact"/>
              <w:jc w:val="left"/>
            </w:pPr>
            <w:r>
              <w:t xml:space="preserve">800</w:t>
            </w:r>
          </w:p>
        </w:tc>
        <w:tc>
          <w:tcPr/>
          <w:p>
            <w:pPr>
              <w:pStyle w:val="Compact"/>
              <w:jc w:val="left"/>
            </w:pPr>
            <w:r>
              <w:t xml:space="preserve">0.55</w:t>
            </w:r>
          </w:p>
        </w:tc>
        <w:tc>
          <w:tcPr/>
          <w:p>
            <w:pPr>
              <w:pStyle w:val="Compact"/>
              <w:jc w:val="left"/>
            </w:pPr>
            <w:r>
              <w:t xml:space="preserve">0.090</w:t>
            </w:r>
          </w:p>
        </w:tc>
        <w:tc>
          <w:tcPr/>
          <w:p>
            <w:pPr>
              <w:pStyle w:val="Compact"/>
              <w:jc w:val="left"/>
            </w:pPr>
            <w:r>
              <w:t xml:space="preserve">0.040</w:t>
            </w:r>
          </w:p>
        </w:tc>
      </w:tr>
      <w:tr>
        <w:tc>
          <w:tcPr/>
          <w:p>
            <w:pPr>
              <w:pStyle w:val="Compact"/>
              <w:jc w:val="left"/>
            </w:pPr>
            <w:r>
              <w:t xml:space="preserve">Last-Mile Delivery</w:t>
            </w:r>
          </w:p>
        </w:tc>
        <w:tc>
          <w:tcPr/>
          <w:p>
            <w:pPr>
              <w:pStyle w:val="Compact"/>
              <w:jc w:val="left"/>
            </w:pPr>
            <w:r>
              <w:t xml:space="preserve">Small Parcel Carrier</w:t>
            </w:r>
          </w:p>
        </w:tc>
        <w:tc>
          <w:tcPr/>
          <w:p>
            <w:pPr>
              <w:pStyle w:val="Compact"/>
              <w:jc w:val="left"/>
            </w:pPr>
            <w:r>
              <w:t xml:space="preserve">100</w:t>
            </w:r>
          </w:p>
        </w:tc>
        <w:tc>
          <w:tcPr/>
          <w:p>
            <w:pPr>
              <w:pStyle w:val="Compact"/>
              <w:jc w:val="left"/>
            </w:pPr>
            <w:r>
              <w:t xml:space="preserve">0.55</w:t>
            </w:r>
          </w:p>
        </w:tc>
        <w:tc>
          <w:tcPr/>
          <w:p>
            <w:pPr>
              <w:pStyle w:val="Compact"/>
              <w:jc w:val="left"/>
            </w:pPr>
            <w:r>
              <w:t xml:space="preserve">0.105 (approx. for small parcel)</w:t>
            </w:r>
          </w:p>
        </w:tc>
        <w:tc>
          <w:tcPr/>
          <w:p>
            <w:pPr>
              <w:pStyle w:val="Compact"/>
              <w:jc w:val="left"/>
            </w:pPr>
            <w:r>
              <w:t xml:space="preserve">0.006</w:t>
            </w:r>
          </w:p>
        </w:tc>
      </w:tr>
      <w:tr>
        <w:tc>
          <w:tcPr>
            <w:gridSpan w:val="5"/>
          </w:tcPr>
          <w:p>
            <w:pPr>
              <w:pStyle w:val="Compact"/>
              <w:jc w:val="right"/>
            </w:pPr>
            <w:r>
              <w:t xml:space="preserve">Total Transport Impact:</w:t>
            </w:r>
          </w:p>
        </w:tc>
        <w:tc>
          <w:tcPr/>
          <w:p>
            <w:pPr>
              <w:pStyle w:val="Compact"/>
              <w:jc w:val="left"/>
            </w:pPr>
            <w:r>
              <w:rPr>
                <w:bCs/>
                <w:b/>
              </w:rPr>
              <w:t xml:space="preserve">0.211</w:t>
            </w:r>
          </w:p>
        </w:tc>
      </w:tr>
    </w:tbl>
    <w:p>
      <w:pPr>
        <w:pStyle w:val="BodyText"/>
      </w:pPr>
      <w:r>
        <w:rPr>
          <w:iCs/>
          <w:i/>
        </w:rPr>
        <w:t xml:space="preserve">(Note: Upstream transport assumes average raw material mass of 0.55 kg per final product unit and a shorter ocean distance for component sourcing.)</w:t>
      </w:r>
    </w:p>
    <w:bookmarkEnd w:id="31"/>
    <w:bookmarkStart w:id="32" w:name="X9c47a088dc2010630d22d37d8f68ea322772e33"/>
    <w:p>
      <w:pPr>
        <w:pStyle w:val="Heading3"/>
      </w:pPr>
      <w:r>
        <w:t xml:space="preserve">2.4. Use Phase Data (Scope 3, Category 11: Use of Sold Products)</w:t>
      </w:r>
    </w:p>
    <w:p>
      <w:pPr>
        <w:pStyle w:val="FirstParagraph"/>
      </w:pPr>
      <w:r>
        <w:t xml:space="preserve">The energy consumed during the product\'s operational lifetime is a significant contributor to its footprint.</w:t>
      </w:r>
    </w:p>
    <w:p>
      <w:pPr>
        <w:numPr>
          <w:ilvl w:val="0"/>
          <w:numId w:val="1004"/>
        </w:numPr>
        <w:pStyle w:val="Compact"/>
      </w:pPr>
      <w:r>
        <w:rPr>
          <w:bCs/>
          <w:b/>
        </w:rPr>
        <w:t xml:space="preserve">Product Lifespan:</w:t>
      </w:r>
      <w:r>
        <w:t xml:space="preserve"> </w:t>
      </w:r>
      <w:r>
        <w:t xml:space="preserve">fmrqupqxph = 5 years</w:t>
      </w:r>
    </w:p>
    <w:p>
      <w:pPr>
        <w:numPr>
          <w:ilvl w:val="0"/>
          <w:numId w:val="1004"/>
        </w:numPr>
        <w:pStyle w:val="Compact"/>
      </w:pPr>
      <w:r>
        <w:rPr>
          <w:bCs/>
          <w:b/>
        </w:rPr>
        <w:t xml:space="preserve">Energy Consumption in Use (kWh/year):</w:t>
      </w:r>
      <w:r>
        <w:t xml:space="preserve"> </w:t>
      </w:r>
      <w:r>
        <w:t xml:space="preserve">qsuppzthjn = 10 kWh/year</w:t>
      </w:r>
    </w:p>
    <w:p>
      <w:pPr>
        <w:pStyle w:val="FirstParagraph"/>
      </w:pPr>
      <w:r>
        <w:t xml:space="preserve">Assuming the product is used in a typical European context, the average grid emission factor for electricity during the use phase is estimated at 0.25 kgCO₂e/kWh.</w:t>
      </w:r>
    </w:p>
    <w:bookmarkEnd w:id="32"/>
    <w:bookmarkStart w:id="33" w:name="X22f9dae0edae5a4ebf0dcf5b8ca74de2c6ea5a4"/>
    <w:p>
      <w:pPr>
        <w:pStyle w:val="Heading3"/>
      </w:pPr>
      <w:r>
        <w:t xml:space="preserve">2.5. End-of-Life (EoL) Scenarios (Scope 3, Category 12: End-of-Life Treatment of Sold Products)</w:t>
      </w:r>
    </w:p>
    <w:p>
      <w:pPr>
        <w:pStyle w:val="FirstParagraph"/>
      </w:pPr>
      <w:r>
        <w:t xml:space="preserve">The product\'s end-of-life management incorporates circular economy principles.</w:t>
      </w:r>
    </w:p>
    <w:p>
      <w:pPr>
        <w:numPr>
          <w:ilvl w:val="0"/>
          <w:numId w:val="1005"/>
        </w:numPr>
        <w:pStyle w:val="Compact"/>
      </w:pPr>
      <w:r>
        <w:rPr>
          <w:bCs/>
          <w:b/>
        </w:rPr>
        <w:t xml:space="preserve">Recyclability Percentage:</w:t>
      </w:r>
      <w:r>
        <w:t xml:space="preserve"> </w:t>
      </w:r>
      <w:r>
        <w:t xml:space="preserve">lozunpnkll = 80%</w:t>
      </w:r>
    </w:p>
    <w:p>
      <w:pPr>
        <w:numPr>
          <w:ilvl w:val="0"/>
          <w:numId w:val="1005"/>
        </w:numPr>
        <w:pStyle w:val="Compact"/>
      </w:pPr>
      <w:r>
        <w:rPr>
          <w:bCs/>
          <w:b/>
        </w:rPr>
        <w:t xml:space="preserve">Circular/Take-back Programs:</w:t>
      </w:r>
      <w:r>
        <w:t xml:space="preserve"> </w:t>
      </w:r>
      <w:r>
        <w:t xml:space="preserve">ielwwtgghs = Active take-back program in key markets, targeting 15% material recovery for high-value components.</w:t>
      </w:r>
    </w:p>
    <w:p>
      <w:pPr>
        <w:pStyle w:val="FirstParagraph"/>
      </w:pPr>
      <w:r>
        <w:t xml:space="preserve">The 80% recyclability targets the recovery of materials (plastics, metals, electronics). For the remaining 20% that goes to landfill, a general emission factor for waste disposal (including transport to landfill) is applied. The active take-back program is expected to further enhance actual recovery rates and ensure proper end-of-life management, potentially providing avoided emissions credits by displacing virgin material production.</w:t>
      </w:r>
    </w:p>
    <w:p>
      <w:pPr>
        <w:pStyle w:val="BodyText"/>
      </w:pPr>
      <w:r>
        <w:rPr>
          <w:iCs/>
          <w:i/>
        </w:rPr>
        <w:t xml:space="preserve">(Note: EoL emission factors for landfill typically include transport and direct landfill emissions, while recycling benefits are often accounted for as avoided emissions or credits against virgin material production. For this analysis, a conservative direct EoL factor is used, and circular programs are noted for their potential to reduce overall lifecycle impact beyond direct EoL emissions.)</w:t>
      </w:r>
    </w:p>
    <w:p>
      <w:r>
        <w:pict>
          <v:rect style="width:0;height:1.5pt" o:hralign="center" o:hrstd="t" o:hr="t"/>
        </w:pict>
      </w:r>
    </w:p>
    <w:bookmarkEnd w:id="33"/>
    <w:bookmarkEnd w:id="34"/>
    <w:bookmarkStart w:id="42" w:name="emission-calculation"/>
    <w:p>
      <w:pPr>
        <w:pStyle w:val="Heading2"/>
      </w:pPr>
      <w:r>
        <w:t xml:space="preserve">4. Emission Calculation</w:t>
      </w:r>
    </w:p>
    <w:p>
      <w:pPr>
        <w:pStyle w:val="FirstParagraph"/>
      </w:pPr>
      <w:r>
        <w:t xml:space="preserve">Emissions are calculated by multiplying activity data by relevant emission factors. The total Product Carbon Footprint (PCF) for one unit of lzlpkrdftw is aggregated across all lifecycle stages and categorized according to the GHG Protocol.</w:t>
      </w:r>
    </w:p>
    <w:bookmarkStart w:id="40" w:name="calculations-by-lifecycle-stage"/>
    <w:p>
      <w:pPr>
        <w:pStyle w:val="Heading3"/>
      </w:pPr>
      <w:r>
        <w:t xml:space="preserve">4.1. Calculations by Lifecycle Stage</w:t>
      </w:r>
    </w:p>
    <w:bookmarkStart w:id="35" w:name="X1ad9a0c33edfd883cba8e7eb5d0853356860b8a"/>
    <w:p>
      <w:pPr>
        <w:pStyle w:val="Heading4"/>
      </w:pPr>
      <w:r>
        <w:t xml:space="preserve">Material Acquisition &amp; Pre-processing (Scope 3, Category 1)</w:t>
      </w:r>
    </w:p>
    <w:p>
      <w:pPr>
        <w:pStyle w:val="FirstParagraph"/>
      </w:pPr>
      <w:r>
        <w:t xml:space="preserve">Based on the Detailed Bill of Materials (BOM) above, the sum of "Total Carbon" for all components:</w:t>
      </w:r>
    </w:p>
    <w:p>
      <w:pPr>
        <w:pStyle w:val="BodyText"/>
      </w:pPr>
      <w:r>
        <w:rPr>
          <w:bCs/>
          <w:b/>
        </w:rPr>
        <w:t xml:space="preserve">Total Material Impact = 4.92 kgCO₂e</w:t>
      </w:r>
    </w:p>
    <w:bookmarkEnd w:id="35"/>
    <w:bookmarkStart w:id="36" w:name="manufacturing-scope-2"/>
    <w:p>
      <w:pPr>
        <w:pStyle w:val="Heading4"/>
      </w:pPr>
      <w:r>
        <w:t xml:space="preserve">Manufacturing (Scope 2)</w:t>
      </w:r>
    </w:p>
    <w:p>
      <w:pPr>
        <w:numPr>
          <w:ilvl w:val="0"/>
          <w:numId w:val="1006"/>
        </w:numPr>
        <w:pStyle w:val="Compact"/>
      </w:pPr>
      <w:r>
        <w:t xml:space="preserve">Energy Consumption: 2.5 kWh/unit</w:t>
      </w:r>
    </w:p>
    <w:p>
      <w:pPr>
        <w:numPr>
          <w:ilvl w:val="0"/>
          <w:numId w:val="1006"/>
        </w:numPr>
        <w:pStyle w:val="Compact"/>
      </w:pPr>
      <w:r>
        <w:t xml:space="preserve">Non-renewable Energy Share: 100% - 60% = 40%</w:t>
      </w:r>
    </w:p>
    <w:p>
      <w:pPr>
        <w:numPr>
          <w:ilvl w:val="0"/>
          <w:numId w:val="1006"/>
        </w:numPr>
        <w:pStyle w:val="Compact"/>
      </w:pPr>
      <w:r>
        <w:t xml:space="preserve">Non-renewable Energy Consumption: 2.5 kWh/unit * 0.40 = 1.0 kWh/unit</w:t>
      </w:r>
    </w:p>
    <w:p>
      <w:pPr>
        <w:numPr>
          <w:ilvl w:val="0"/>
          <w:numId w:val="1006"/>
        </w:numPr>
        <w:pStyle w:val="Compact"/>
      </w:pPr>
      <w:r>
        <w:t xml:space="preserve">China Grid Emission Factor: 0.6 kgCO₂e/kWh</w:t>
      </w:r>
    </w:p>
    <w:p>
      <w:pPr>
        <w:numPr>
          <w:ilvl w:val="0"/>
          <w:numId w:val="1006"/>
        </w:numPr>
        <w:pStyle w:val="Compact"/>
      </w:pPr>
      <w:r>
        <w:rPr>
          <w:bCs/>
          <w:b/>
        </w:rPr>
        <w:t xml:space="preserve">Manufacturing Emissions = 1.0 kWh/unit * 0.6 kgCO₂e/kWh = 0.60 kgCO₂e</w:t>
      </w:r>
    </w:p>
    <w:p>
      <w:pPr>
        <w:pStyle w:val="FirstParagraph"/>
      </w:pPr>
      <w:r>
        <w:rPr>
          <w:iCs/>
          <w:i/>
        </w:rPr>
        <w:t xml:space="preserve">(Note: Assuming no significant Scope 1 direct emissions from fuel combustion at the manufacturing facility itself, or that these are negligible compared to electricity consumption. If direct process emissions were identified, they would be added here under Scope 1.)</w:t>
      </w:r>
    </w:p>
    <w:bookmarkEnd w:id="36"/>
    <w:bookmarkStart w:id="37" w:name="transportation-scope-3-categories-4-9"/>
    <w:p>
      <w:pPr>
        <w:pStyle w:val="Heading4"/>
      </w:pPr>
      <w:r>
        <w:t xml:space="preserve">Transportation (Scope 3, Categories 4 &amp; 9)</w:t>
      </w:r>
    </w:p>
    <w:p>
      <w:pPr>
        <w:pStyle w:val="FirstParagraph"/>
      </w:pPr>
      <w:r>
        <w:t xml:space="preserve">Based on the logistics data provided and calculations:</w:t>
      </w:r>
    </w:p>
    <w:p>
      <w:pPr>
        <w:pStyle w:val="BodyText"/>
      </w:pPr>
      <w:r>
        <w:rPr>
          <w:bCs/>
          <w:b/>
        </w:rPr>
        <w:t xml:space="preserve">Total Transport Impact = 0.211 kgCO₂e</w:t>
      </w:r>
    </w:p>
    <w:bookmarkEnd w:id="37"/>
    <w:bookmarkStart w:id="38" w:name="use-phase-scope-3-category-11"/>
    <w:p>
      <w:pPr>
        <w:pStyle w:val="Heading4"/>
      </w:pPr>
      <w:r>
        <w:t xml:space="preserve">Use Phase (Scope 3, Category 11)</w:t>
      </w:r>
    </w:p>
    <w:p>
      <w:pPr>
        <w:numPr>
          <w:ilvl w:val="0"/>
          <w:numId w:val="1007"/>
        </w:numPr>
        <w:pStyle w:val="Compact"/>
      </w:pPr>
      <w:r>
        <w:t xml:space="preserve">Annual Energy Consumption: 10 kWh/year</w:t>
      </w:r>
    </w:p>
    <w:p>
      <w:pPr>
        <w:numPr>
          <w:ilvl w:val="0"/>
          <w:numId w:val="1007"/>
        </w:numPr>
        <w:pStyle w:val="Compact"/>
      </w:pPr>
      <w:r>
        <w:t xml:space="preserve">Product Lifespan: 5 years</w:t>
      </w:r>
    </w:p>
    <w:p>
      <w:pPr>
        <w:numPr>
          <w:ilvl w:val="0"/>
          <w:numId w:val="1007"/>
        </w:numPr>
        <w:pStyle w:val="Compact"/>
      </w:pPr>
      <w:r>
        <w:t xml:space="preserve">Total Energy Consumption over Lifespan: 10 kWh/year * 5 years = 50 kWh</w:t>
      </w:r>
    </w:p>
    <w:p>
      <w:pPr>
        <w:numPr>
          <w:ilvl w:val="0"/>
          <w:numId w:val="1007"/>
        </w:numPr>
        <w:pStyle w:val="Compact"/>
      </w:pPr>
      <w:r>
        <w:t xml:space="preserve">Assumed Use Phase Electricity Emission Factor (e.g., EU average): 0.25 kgCO₂e/kWh</w:t>
      </w:r>
    </w:p>
    <w:p>
      <w:pPr>
        <w:numPr>
          <w:ilvl w:val="0"/>
          <w:numId w:val="1007"/>
        </w:numPr>
        <w:pStyle w:val="Compact"/>
      </w:pPr>
      <w:r>
        <w:rPr>
          <w:bCs/>
          <w:b/>
        </w:rPr>
        <w:t xml:space="preserve">Use Phase Emissions = 50 kWh * 0.25 kgCO₂e/kWh = 12.50 kgCO₂e</w:t>
      </w:r>
    </w:p>
    <w:bookmarkEnd w:id="38"/>
    <w:bookmarkStart w:id="39" w:name="end-of-life-eol-scope-3-category-12"/>
    <w:p>
      <w:pPr>
        <w:pStyle w:val="Heading4"/>
      </w:pPr>
      <w:r>
        <w:t xml:space="preserve">End-of-Life (EoL) (Scope 3, Category 12)</w:t>
      </w:r>
    </w:p>
    <w:p>
      <w:pPr>
        <w:numPr>
          <w:ilvl w:val="0"/>
          <w:numId w:val="1008"/>
        </w:numPr>
        <w:pStyle w:val="Compact"/>
      </w:pPr>
      <w:r>
        <w:t xml:space="preserve">Total Product Mass: ~0.55 kg (for disposal)</w:t>
      </w:r>
    </w:p>
    <w:p>
      <w:pPr>
        <w:numPr>
          <w:ilvl w:val="0"/>
          <w:numId w:val="1008"/>
        </w:numPr>
        <w:pStyle w:val="Compact"/>
      </w:pPr>
      <w:r>
        <w:t xml:space="preserve">Non-Recycled Portion: 100% - 80% = 20%</w:t>
      </w:r>
    </w:p>
    <w:p>
      <w:pPr>
        <w:numPr>
          <w:ilvl w:val="0"/>
          <w:numId w:val="1008"/>
        </w:numPr>
        <w:pStyle w:val="Compact"/>
      </w:pPr>
      <w:r>
        <w:t xml:space="preserve">Mass to Landfill: 0.55 kg * 0.20 = 0.11 kg</w:t>
      </w:r>
    </w:p>
    <w:p>
      <w:pPr>
        <w:numPr>
          <w:ilvl w:val="0"/>
          <w:numId w:val="1008"/>
        </w:numPr>
        <w:pStyle w:val="Compact"/>
      </w:pPr>
      <w:r>
        <w:t xml:space="preserve">Landfill Emission Factor (incl. transport, illustrative): 0.021 kgCO₂e/kg</w:t>
      </w:r>
    </w:p>
    <w:p>
      <w:pPr>
        <w:numPr>
          <w:ilvl w:val="0"/>
          <w:numId w:val="1008"/>
        </w:numPr>
        <w:pStyle w:val="Compact"/>
      </w:pPr>
      <w:r>
        <w:rPr>
          <w:bCs/>
          <w:b/>
        </w:rPr>
        <w:t xml:space="preserve">End-of-Life Emissions = 0.11 kg * 0.021 kgCO₂e/kg = 0.00231 kgCO₂e</w:t>
      </w:r>
    </w:p>
    <w:p>
      <w:pPr>
        <w:pStyle w:val="FirstParagraph"/>
      </w:pPr>
      <w:r>
        <w:rPr>
          <w:iCs/>
          <w:i/>
        </w:rPr>
        <w:t xml:space="preserve">(Note: The 80% recyclability and 15% material recovery through circular programs would lead to avoided emissions from virgin material production, but these are typically accounted for as \'credits\' or \'negative emissions\' and are not subtracted from the direct EoL emissions for clarity in a cradle-to-grave boundary report unless specified by the standard for specific product types. For this report, the direct EoL disposal emissions are calculated.)</w:t>
      </w:r>
    </w:p>
    <w:bookmarkEnd w:id="39"/>
    <w:bookmarkEnd w:id="40"/>
    <w:bookmarkStart w:id="41" w:name="X1106d2b2006a5ea619bcd4ed2144b11c4821b2e"/>
    <w:p>
      <w:pPr>
        <w:pStyle w:val="Heading3"/>
      </w:pPr>
      <w:r>
        <w:t xml:space="preserve">4.2. Summary of Product Carbon Footprint by Scope and Stage</w:t>
      </w:r>
    </w:p>
    <w:p>
      <w:pPr>
        <w:pStyle w:val="FirstParagraph"/>
      </w:pPr>
      <w:r>
        <w:t xml:space="preserve">The total Product Carbon Footprint for one unit of lzlpkrdftw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CO₂e Emissions (kg)</w:t>
            </w:r>
          </w:p>
        </w:tc>
        <w:tc>
          <w:tcPr/>
          <w:p>
            <w:pPr>
              <w:pStyle w:val="Compact"/>
              <w:jc w:val="left"/>
            </w:pPr>
            <w:r>
              <w:t xml:space="preserve">Percentage (%)</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4.920</w:t>
            </w:r>
          </w:p>
        </w:tc>
        <w:tc>
          <w:tcPr/>
          <w:p>
            <w:pPr>
              <w:pStyle w:val="Compact"/>
              <w:jc w:val="left"/>
            </w:pPr>
            <w:r>
              <w:t xml:space="preserve">28.1%</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0.600</w:t>
            </w:r>
          </w:p>
        </w:tc>
        <w:tc>
          <w:tcPr/>
          <w:p>
            <w:pPr>
              <w:pStyle w:val="Compact"/>
              <w:jc w:val="left"/>
            </w:pPr>
            <w:r>
              <w:t xml:space="preserve">3.4%</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0.066</w:t>
            </w:r>
          </w:p>
        </w:tc>
        <w:tc>
          <w:tcPr/>
          <w:p>
            <w:pPr>
              <w:pStyle w:val="Compact"/>
              <w:jc w:val="left"/>
            </w:pPr>
            <w:r>
              <w:t xml:space="preserve">0.4%</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0.145</w:t>
            </w:r>
          </w:p>
        </w:tc>
        <w:tc>
          <w:tcPr/>
          <w:p>
            <w:pPr>
              <w:pStyle w:val="Compact"/>
              <w:jc w:val="left"/>
            </w:pPr>
            <w:r>
              <w:t xml:space="preserve">0.8%</w:t>
            </w:r>
          </w:p>
        </w:tc>
      </w:tr>
      <w:tr>
        <w:tc>
          <w:tcPr/>
          <w:p>
            <w:pPr>
              <w:pStyle w:val="Compact"/>
              <w:jc w:val="left"/>
            </w:pPr>
            <w:r>
              <w:t xml:space="preserve">Product Use</w:t>
            </w:r>
          </w:p>
        </w:tc>
        <w:tc>
          <w:tcPr/>
          <w:p>
            <w:pPr>
              <w:pStyle w:val="Compact"/>
              <w:jc w:val="left"/>
            </w:pPr>
            <w:r>
              <w:t xml:space="preserve">Scope 3, Category 11</w:t>
            </w:r>
          </w:p>
        </w:tc>
        <w:tc>
          <w:tcPr/>
          <w:p>
            <w:pPr>
              <w:pStyle w:val="Compact"/>
              <w:jc w:val="left"/>
            </w:pPr>
            <w:r>
              <w:t xml:space="preserve">12.500</w:t>
            </w:r>
          </w:p>
        </w:tc>
        <w:tc>
          <w:tcPr/>
          <w:p>
            <w:pPr>
              <w:pStyle w:val="Compact"/>
              <w:jc w:val="left"/>
            </w:pPr>
            <w:r>
              <w:t xml:space="preserve">69.8%</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0.002</w:t>
            </w:r>
          </w:p>
        </w:tc>
        <w:tc>
          <w:tcPr/>
          <w:p>
            <w:pPr>
              <w:pStyle w:val="Compact"/>
              <w:jc w:val="left"/>
            </w:pPr>
            <w:r>
              <w:t xml:space="preserve">0.0%</w:t>
            </w:r>
          </w:p>
        </w:tc>
      </w:tr>
      <w:tr>
        <w:tc>
          <w:tcPr>
            <w:gridSpan w:val="2"/>
          </w:tcPr>
          <w:p>
            <w:pPr>
              <w:pStyle w:val="Compact"/>
              <w:jc w:val="left"/>
            </w:pPr>
            <w:r>
              <w:rPr>
                <w:bCs/>
                <w:b/>
              </w:rPr>
              <w:t xml:space="preserve">Total Product Carbon Footprint</w:t>
            </w:r>
          </w:p>
        </w:tc>
        <w:tc>
          <w:tcPr/>
          <w:p>
            <w:pPr>
              <w:pStyle w:val="Compact"/>
              <w:jc w:val="left"/>
            </w:pPr>
            <w:r>
              <w:rPr>
                <w:bCs/>
                <w:b/>
              </w:rPr>
              <w:t xml:space="preserve">18.233</w:t>
            </w:r>
          </w:p>
        </w:tc>
        <w:tc>
          <w:tcPr/>
          <w:p>
            <w:pPr>
              <w:pStyle w:val="Compact"/>
              <w:jc w:val="left"/>
            </w:pPr>
            <w:r>
              <w:rPr>
                <w:bCs/>
                <w:b/>
              </w:rPr>
              <w:t xml:space="preserve">100%</w:t>
            </w:r>
          </w:p>
        </w:tc>
      </w:tr>
    </w:tbl>
    <w:p>
      <w:r>
        <w:pict>
          <v:rect style="width:0;height:1.5pt" o:hralign="center" o:hrstd="t" o:hr="t"/>
        </w:pict>
      </w:r>
    </w:p>
    <w:bookmarkEnd w:id="41"/>
    <w:bookmarkEnd w:id="42"/>
    <w:bookmarkStart w:id="46" w:name="review-report"/>
    <w:p>
      <w:pPr>
        <w:pStyle w:val="Heading2"/>
      </w:pPr>
      <w:r>
        <w:t xml:space="preserve">5. Review &amp; Report</w:t>
      </w:r>
    </w:p>
    <w:bookmarkStart w:id="43" w:name="hotspot-identification"/>
    <w:p>
      <w:pPr>
        <w:pStyle w:val="Heading3"/>
      </w:pPr>
      <w:r>
        <w:t xml:space="preserve">5.1. Hotspot Identification</w:t>
      </w:r>
    </w:p>
    <w:p>
      <w:pPr>
        <w:pStyle w:val="FirstParagraph"/>
      </w:pPr>
      <w:r>
        <w:t xml:space="preserve">The analysis clearly identifies the following major emission hotspots for lzlpkrdftw:</w:t>
      </w:r>
    </w:p>
    <w:p>
      <w:pPr>
        <w:numPr>
          <w:ilvl w:val="0"/>
          <w:numId w:val="1009"/>
        </w:numPr>
        <w:pStyle w:val="Compact"/>
      </w:pPr>
      <w:r>
        <w:rPr>
          <w:bCs/>
          <w:b/>
        </w:rPr>
        <w:t xml:space="preserve">Use Phase (69.8%):</w:t>
      </w:r>
      <w:r>
        <w:t xml:space="preserve"> </w:t>
      </w:r>
      <w:r>
        <w:t xml:space="preserve">The vast majority of the product\'s carbon footprint occurs during its operational lifetime due to electricity consumption. This is a critical area for intervention.</w:t>
      </w:r>
    </w:p>
    <w:p>
      <w:pPr>
        <w:numPr>
          <w:ilvl w:val="0"/>
          <w:numId w:val="1009"/>
        </w:numPr>
        <w:pStyle w:val="Compact"/>
      </w:pPr>
      <w:r>
        <w:rPr>
          <w:bCs/>
          <w:b/>
        </w:rPr>
        <w:t xml:space="preserve">Material Acquisition &amp; Pre-processing (28.1%):</w:t>
      </w:r>
      <w:r>
        <w:t xml:space="preserve"> </w:t>
      </w:r>
      <w:r>
        <w:t xml:space="preserve">The raw materials, particularly the silicon chipset and PCB assembly, contribute significantly to the upstream emissions, highlighting the impact of high-tech components.</w:t>
      </w:r>
    </w:p>
    <w:p>
      <w:pPr>
        <w:numPr>
          <w:ilvl w:val="0"/>
          <w:numId w:val="1009"/>
        </w:numPr>
        <w:pStyle w:val="Compact"/>
      </w:pPr>
      <w:r>
        <w:rPr>
          <w:bCs/>
          <w:b/>
        </w:rPr>
        <w:t xml:space="preserve">Manufacturing (3.4%):</w:t>
      </w:r>
      <w:r>
        <w:t xml:space="preserve"> </w:t>
      </w:r>
      <w:r>
        <w:t xml:space="preserve">While renewable energy usage helps mitigate this, the remaining conventional electricity still contributes.</w:t>
      </w:r>
    </w:p>
    <w:p>
      <w:pPr>
        <w:numPr>
          <w:ilvl w:val="0"/>
          <w:numId w:val="1009"/>
        </w:numPr>
        <w:pStyle w:val="Compact"/>
      </w:pPr>
      <w:r>
        <w:rPr>
          <w:bCs/>
          <w:b/>
        </w:rPr>
        <w:t xml:space="preserve">Transportation (1.2%):</w:t>
      </w:r>
      <w:r>
        <w:t xml:space="preserve"> </w:t>
      </w:r>
      <w:r>
        <w:t xml:space="preserve">Both upstream and downstream logistics contribute, though less significantly than the use and materials phases.</w:t>
      </w:r>
    </w:p>
    <w:p>
      <w:pPr>
        <w:numPr>
          <w:ilvl w:val="0"/>
          <w:numId w:val="1009"/>
        </w:numPr>
        <w:pStyle w:val="Compact"/>
      </w:pPr>
      <w:r>
        <w:rPr>
          <w:bCs/>
          <w:b/>
        </w:rPr>
        <w:t xml:space="preserve">End-of-Life (0.0%):</w:t>
      </w:r>
      <w:r>
        <w:t xml:space="preserve"> </w:t>
      </w:r>
      <w:r>
        <w:t xml:space="preserve">Due to high recyclability and low direct disposal emissions, this stage has a minimal direct footprint, but the benefits of recycling (avoided emissions) are substantial though not directly captured as a reduction in this specific EoL calculation.</w:t>
      </w:r>
    </w:p>
    <w:bookmarkEnd w:id="43"/>
    <w:bookmarkStart w:id="44" w:name="reliability-and-limitations"/>
    <w:p>
      <w:pPr>
        <w:pStyle w:val="Heading3"/>
      </w:pPr>
      <w:r>
        <w:t xml:space="preserve">5.2. Reliability and Limitations</w:t>
      </w:r>
    </w:p>
    <w:p>
      <w:pPr>
        <w:pStyle w:val="FirstParagraph"/>
      </w:pPr>
      <w:r>
        <w:t xml:space="preserve">The reliability of this PCF is enhanced by adhering to the GHG Protocol and using specific company-provided data for BOM, energy usage, and logistics. However, certain limitations apply:</w:t>
      </w:r>
    </w:p>
    <w:p>
      <w:pPr>
        <w:numPr>
          <w:ilvl w:val="0"/>
          <w:numId w:val="1010"/>
        </w:numPr>
        <w:pStyle w:val="Compact"/>
      </w:pPr>
      <w:r>
        <w:rPr>
          <w:bCs/>
          <w:b/>
        </w:rPr>
        <w:t xml:space="preserve">Secondary Data Reliance:</w:t>
      </w:r>
      <w:r>
        <w:t xml:space="preserve"> </w:t>
      </w:r>
      <w:r>
        <w:t xml:space="preserve">While industry-standard emission factors from Ecoinvent/DEFRA are used, these are generic averages and may not perfectly reflect the specific production conditions or geographic sourcing of all sub-components. Primary data collection from all suppliers would further enhance accuracy.</w:t>
      </w:r>
    </w:p>
    <w:p>
      <w:pPr>
        <w:numPr>
          <w:ilvl w:val="0"/>
          <w:numId w:val="1010"/>
        </w:numPr>
        <w:pStyle w:val="Compact"/>
      </w:pPr>
      <w:r>
        <w:rPr>
          <w:bCs/>
          <w:b/>
        </w:rPr>
        <w:t xml:space="preserve">Use Phase Assumptions:</w:t>
      </w:r>
      <w:r>
        <w:t xml:space="preserve"> </w:t>
      </w:r>
      <w:r>
        <w:t xml:space="preserve">The use phase emissions are based on estimated average energy consumption over the product\'s lifespan and a generic grid mix for the usage region. Actual consumer behavior and local electricity mixes may vary.</w:t>
      </w:r>
    </w:p>
    <w:p>
      <w:pPr>
        <w:numPr>
          <w:ilvl w:val="0"/>
          <w:numId w:val="1010"/>
        </w:numPr>
        <w:pStyle w:val="Compact"/>
      </w:pPr>
      <w:r>
        <w:rPr>
          <w:bCs/>
          <w:b/>
        </w:rPr>
        <w:t xml:space="preserve">EoL Allocation:</w:t>
      </w:r>
      <w:r>
        <w:t xml:space="preserve"> </w:t>
      </w:r>
      <w:r>
        <w:t xml:space="preserve">While recyclability is high, the precise avoided emissions from closed-loop or open-loop recycling programs are complex and are noted qualitatively here.</w:t>
      </w:r>
    </w:p>
    <w:p>
      <w:pPr>
        <w:numPr>
          <w:ilvl w:val="0"/>
          <w:numId w:val="1010"/>
        </w:numPr>
        <w:pStyle w:val="Compact"/>
      </w:pPr>
      <w:r>
        <w:rPr>
          <w:bCs/>
          <w:b/>
        </w:rPr>
        <w:t xml:space="preserve">2026 LSR Standard:</w:t>
      </w:r>
      <w:r>
        <w:t xml:space="preserve"> </w:t>
      </w:r>
      <w:r>
        <w:t xml:space="preserve">The LSR standard\'s guidance (Q2 2026) is still in development, and full integration for specific agricultural or land-intensive sub-materials would require more detailed upstream data. The applicability to a Smart Home Device is indirect through raw material supply chains.</w:t>
      </w:r>
    </w:p>
    <w:p>
      <w:pPr>
        <w:numPr>
          <w:ilvl w:val="0"/>
          <w:numId w:val="1010"/>
        </w:numPr>
        <w:pStyle w:val="Compact"/>
      </w:pPr>
      <w:r>
        <w:rPr>
          <w:bCs/>
          <w:b/>
        </w:rPr>
        <w:t xml:space="preserve">Scope 3 Coverage:</w:t>
      </w:r>
      <w:r>
        <w:t xml:space="preserve"> </w:t>
      </w:r>
      <w:r>
        <w:t xml:space="preserve">While targeting 95% coverage, some minor Scope 3 categories or indirect impacts may still be estimated or excluded if deemed immaterial, as allowed by the standard for justifiable exclusions. The report aims to meet the mandatory disaggregation by data type where possible by explicitly stating the nature of data used.</w:t>
      </w:r>
    </w:p>
    <w:bookmarkEnd w:id="44"/>
    <w:bookmarkStart w:id="45" w:name="recommendations"/>
    <w:p>
      <w:pPr>
        <w:pStyle w:val="Heading3"/>
      </w:pPr>
      <w:r>
        <w:t xml:space="preserve">5.3. Recommendations</w:t>
      </w:r>
    </w:p>
    <w:p>
      <w:pPr>
        <w:pStyle w:val="FirstParagraph"/>
      </w:pPr>
      <w:r>
        <w:t xml:space="preserve">Based on this analysis, hwuxgwvszp should focus on the following to reduce the carbon footprint of lzlpkrdftw:</w:t>
      </w:r>
    </w:p>
    <w:p>
      <w:pPr>
        <w:numPr>
          <w:ilvl w:val="0"/>
          <w:numId w:val="1011"/>
        </w:numPr>
        <w:pStyle w:val="Compact"/>
      </w:pPr>
      <w:r>
        <w:rPr>
          <w:bCs/>
          <w:b/>
        </w:rPr>
        <w:t xml:space="preserve">Optimize Use Phase:</w:t>
      </w:r>
      <w:r>
        <w:t xml:space="preserve"> </w:t>
      </w:r>
      <w:r>
        <w:t xml:space="preserve">Invest in R&amp;D for energy-efficient designs to reduce annual energy consumption (qsuppzthjn). Promote smart energy management features and educate consumers on efficient product use.</w:t>
      </w:r>
    </w:p>
    <w:p>
      <w:pPr>
        <w:numPr>
          <w:ilvl w:val="0"/>
          <w:numId w:val="1011"/>
        </w:numPr>
        <w:pStyle w:val="Compact"/>
      </w:pPr>
      <w:r>
        <w:rPr>
          <w:bCs/>
          <w:b/>
        </w:rPr>
        <w:t xml:space="preserve">Material Innovation:</w:t>
      </w:r>
      <w:r>
        <w:t xml:space="preserve"> </w:t>
      </w:r>
      <w:r>
        <w:t xml:space="preserve">Explore lower-carbon alternatives for high-impact components like silicon chipsets and PCBs. Engage with suppliers to understand and reduce the embodied emissions of purchased goods. Increase the use of recycled content in materials like ABS plastic casing and aluminum heat sinks.</w:t>
      </w:r>
    </w:p>
    <w:p>
      <w:pPr>
        <w:numPr>
          <w:ilvl w:val="0"/>
          <w:numId w:val="1011"/>
        </w:numPr>
        <w:pStyle w:val="Compact"/>
      </w:pPr>
      <w:r>
        <w:rPr>
          <w:bCs/>
          <w:b/>
        </w:rPr>
        <w:t xml:space="preserve">Increase Renewable Energy Adoption:</w:t>
      </w:r>
      <w:r>
        <w:t xml:space="preserve"> </w:t>
      </w:r>
      <w:r>
        <w:t xml:space="preserve">While already at 60%, strive for 100% renewable energy in manufacturing operations (ntiegsopen) through on-site generation, power purchase agreements (PPAs), or high-quality renewable energy certificates (RECs).</w:t>
      </w:r>
    </w:p>
    <w:p>
      <w:pPr>
        <w:numPr>
          <w:ilvl w:val="0"/>
          <w:numId w:val="1011"/>
        </w:numPr>
        <w:pStyle w:val="Compact"/>
      </w:pPr>
      <w:r>
        <w:rPr>
          <w:bCs/>
          <w:b/>
        </w:rPr>
        <w:t xml:space="preserve">Logistics Optimization:</w:t>
      </w:r>
      <w:r>
        <w:t xml:space="preserve"> </w:t>
      </w:r>
      <w:r>
        <w:t xml:space="preserve">Continuously optimize transport routes, modes (e.g., shifting from air to sea or rail where feasible), and load factors to minimize emissions from upstream and downstream transportation. Explore local sourcing where economically and environmentally viable.</w:t>
      </w:r>
    </w:p>
    <w:p>
      <w:pPr>
        <w:numPr>
          <w:ilvl w:val="0"/>
          <w:numId w:val="1011"/>
        </w:numPr>
        <w:pStyle w:val="Compact"/>
      </w:pPr>
      <w:r>
        <w:rPr>
          <w:bCs/>
          <w:b/>
        </w:rPr>
        <w:t xml:space="preserve">Enhance Circularity:</w:t>
      </w:r>
      <w:r>
        <w:t xml:space="preserve"> </w:t>
      </w:r>
      <w:r>
        <w:t xml:space="preserve">Strengthen existing circular/take-back programs (ielwwtgghs) to maximize material recovery, reuse, and high-quality recycling, thereby generating significant avoided emissions. Communicate these efforts transparently to consumers.</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lzlpkrdftw</dc:title>
  <dc:creator/>
  <dc:description>High-detail Product Carbon Footprint (PCF) analysis for Smart Home Device \'lzlpkrdftw\' by hwuxgwvszp, adhering to GHG Protocol and 2026 updates, conducted by Senior Sustainability Consultant lvdspkqpdw.</dc:description>
  <dc:language>en</dc:language>
  <cp:keywords/>
  <dcterms:created xsi:type="dcterms:W3CDTF">2026-05-30T16:48:18Z</dcterms:created>
  <dcterms:modified xsi:type="dcterms:W3CDTF">2026-05-30T16:48:18Z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