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lzfrvwfqxw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lzfrvwfqxw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muklxninln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kynxgevdun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Wednesday, June 3, 2026</w:t>
      </w:r>
    </w:p>
    <w:p>
      <w:pPr>
        <w:pStyle w:val="BodyText"/>
      </w:pPr>
      <w:r>
        <w:t xml:space="preserve">Disclaimer: This report is generated based on available data and industry standards, including specific parameters provided.</w:t>
      </w:r>
      <w:r>
        <w:t xml:space="preserve"> </w:t>
      </w:r>
      <w:r>
        <w:t xml:space="preserve">All numerical values used for calculation from placeholder strings represent reasonable assumptions for the purpose of this analysis.</w:t>
      </w:r>
    </w:p>
    <w:bookmarkEnd w:id="20"/>
    <w:bookmarkStart w:id="21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t xml:space="preserve">Generated Date: June 3,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lzfrvwfqxw</w:t>
      </w:r>
      <w:r>
        <w:t xml:space="preserve">, produced by</w:t>
      </w:r>
      <w:r>
        <w:t xml:space="preserve"> </w:t>
      </w:r>
      <w:r>
        <w:rPr>
          <w:bCs/>
          <w:b/>
        </w:rPr>
        <w:t xml:space="preserve">muklxninln</w:t>
      </w:r>
      <w:r>
        <w:t xml:space="preserve">.</w:t>
      </w:r>
      <w:r>
        <w:t xml:space="preserve"> </w:t>
      </w:r>
      <w:r>
        <w:t xml:space="preserve">As</w:t>
      </w:r>
      <w:r>
        <w:t xml:space="preserve"> </w:t>
      </w:r>
      <w:r>
        <w:rPr>
          <w:bCs/>
          <w:b/>
        </w:rPr>
        <w:t xml:space="preserve">kynxgevdun</w:t>
      </w:r>
      <w:r>
        <w:t xml:space="preserve">, Senior Sustainability Consultant, this analysis adheres strictly to the GHG Protocol,</w:t>
      </w:r>
      <w:r>
        <w:t xml:space="preserve"> </w:t>
      </w:r>
      <w:r>
        <w:t xml:space="preserve">incorporating the latest 2026 Land Sector and Removals (LSR) Standard update and ensuring robust Scope 3 coverage.</w:t>
      </w:r>
      <w:r>
        <w:t xml:space="preserve"> </w:t>
      </w:r>
      <w:r>
        <w:t xml:space="preserve">The primary goal is to quantify the greenhouse gas (GHG) emissions associated with the product\'s entire lifecycle,</w:t>
      </w:r>
      <w:r>
        <w:t xml:space="preserve"> </w:t>
      </w:r>
      <w:r>
        <w:t xml:space="preserve">from material extraction and manufacturing to transport, use, and end-of-life, to identify key emission hotspots and</w:t>
      </w:r>
      <w:r>
        <w:t xml:space="preserve"> </w:t>
      </w:r>
      <w:r>
        <w:t xml:space="preserve">inform strategic sustainability initiatives.</w:t>
      </w:r>
    </w:p>
    <w:bookmarkEnd w:id="22"/>
    <w:bookmarkStart w:id="31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</w:t>
      </w:r>
      <w:r>
        <w:t xml:space="preserve"> </w:t>
      </w:r>
      <w:r>
        <w:rPr>
          <w:bCs/>
          <w:b/>
        </w:rPr>
        <w:t xml:space="preserve">lzfrvwfqxw</w:t>
      </w:r>
      <w:r>
        <w:t xml:space="preserve"> </w:t>
      </w:r>
      <w:r>
        <w:t xml:space="preserve">follows the five-step methodology recommended</w:t>
      </w:r>
      <w:r>
        <w:t xml:space="preserve"> </w:t>
      </w:r>
      <w:r>
        <w:t xml:space="preserve">by the GHG Protocol Product Standard.</w:t>
      </w:r>
    </w:p>
    <w:bookmarkStart w:id="23" w:name="define-scope"/>
    <w:p>
      <w:pPr>
        <w:pStyle w:val="Heading3"/>
      </w:pPr>
      <w:r>
        <w:t xml:space="preserve">1.1.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lzfrvwfqxw.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factory_gate, encompassing all processes from raw material acquisition,</w:t>
      </w:r>
      <w:r>
        <w:t xml:space="preserve"> </w:t>
      </w:r>
      <w:r>
        <w:t xml:space="preserve">manufacturing, and outbound logistics up to the point of the product leaving the factory gate.</w:t>
      </w:r>
      <w:r>
        <w:t xml:space="preserve"> </w:t>
      </w:r>
      <w:r>
        <w:t xml:space="preserve">For a comprehensive analysis, the full life cycle (cradle-to-grave) is addressed, including the use phase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with a Supply Chain Focus on Europe.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based on mass for material inputs and energy consumption directly attributable to the functional unit.</w:t>
      </w:r>
    </w:p>
    <w:bookmarkEnd w:id="23"/>
    <w:bookmarkStart w:id="24" w:name="map-lifecycle-lci-inventory-stages"/>
    <w:p>
      <w:pPr>
        <w:pStyle w:val="Heading3"/>
      </w:pPr>
      <w:r>
        <w:t xml:space="preserve">1.2. Map Lifecycle (LCI Inventory Stages)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lzfrvwfqxw</w:t>
      </w:r>
      <w:r>
        <w:t xml:space="preserve"> </w:t>
      </w:r>
      <w:r>
        <w:t xml:space="preserve">is mapped across five key stages, as per the cradle-to-grave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Raw Material Acquisition &amp; Pre-processing (Scope 3, Category 1 - Purchased Goods &amp; Services):</w:t>
      </w:r>
      <w:r>
        <w:t xml:space="preserve"> </w:t>
      </w:r>
      <w:r>
        <w:t xml:space="preserve">Extraction, production, and initial processing of all materials comprising</w:t>
      </w:r>
      <w:r>
        <w:t xml:space="preserve"> </w:t>
      </w:r>
      <w:r>
        <w:rPr>
          <w:bCs/>
          <w:b/>
        </w:rPr>
        <w:t xml:space="preserve">lzfrvwfqxw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 (Scope 1, 2, &amp; 3):</w:t>
      </w:r>
      <w:r>
        <w:t xml:space="preserve"> </w:t>
      </w:r>
      <w:r>
        <w:t xml:space="preserve">Energy consumption, direct emissions, and waste generation</w:t>
      </w:r>
      <w:r>
        <w:t xml:space="preserve"> </w:t>
      </w:r>
      <w:r>
        <w:t xml:space="preserve">during the assembly and production of the product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 (Scope 3, Categories 4 &amp; 9):</w:t>
      </w:r>
      <w:r>
        <w:t xml:space="preserve"> </w:t>
      </w:r>
      <w:r>
        <w:t xml:space="preserve">Inbound logistics of raw materials (Europe to China) and</w:t>
      </w:r>
      <w:r>
        <w:t xml:space="preserve"> </w:t>
      </w:r>
      <w:r>
        <w:t xml:space="preserve">outbound logistics (factory to customer, including last-mile delivery).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 (Scope 3, Category 11 - Use of Sold Products):</w:t>
      </w:r>
      <w:r>
        <w:t xml:space="preserve"> </w:t>
      </w:r>
      <w:r>
        <w:t xml:space="preserve">Emissions arising from the product\'s energy</w:t>
      </w:r>
      <w:r>
        <w:t xml:space="preserve"> </w:t>
      </w:r>
      <w:r>
        <w:t xml:space="preserve">consumption during its estimated lifespan.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 (Scope 3, Category 12 - End-of-Life Treatment of Sold Products):</w:t>
      </w:r>
      <w:r>
        <w:t xml:space="preserve"> </w:t>
      </w:r>
      <w:r>
        <w:t xml:space="preserve">Emissions and potential</w:t>
      </w:r>
      <w:r>
        <w:t xml:space="preserve"> </w:t>
      </w:r>
      <w:r>
        <w:t xml:space="preserve">credits associated with disposal, recycling, and circular economy programs.</w:t>
      </w:r>
    </w:p>
    <w:bookmarkEnd w:id="24"/>
    <w:bookmarkStart w:id="30" w:name="Xb57f50a89bf1f3f1837369be949d9d60d6c1272"/>
    <w:p>
      <w:pPr>
        <w:pStyle w:val="Heading3"/>
      </w:pPr>
      <w:r>
        <w:t xml:space="preserve">1.3. Collect Data (Primary/Secondary Data Points)</w:t>
      </w:r>
    </w:p>
    <w:p>
      <w:pPr>
        <w:pStyle w:val="FirstParagraph"/>
      </w:pPr>
      <w:r>
        <w:t xml:space="preserve">Data collection involved a combination of primary data (where provided) and secondary, industry-average data from reputable</w:t>
      </w:r>
      <w:r>
        <w:t xml:space="preserve"> </w:t>
      </w:r>
      <w:r>
        <w:t xml:space="preserve">databases (e.g., Ecoinvent, DEFRA) for background processes.</w:t>
      </w:r>
    </w:p>
    <w:bookmarkStart w:id="25" w:name="X0ca4f91e5e3ffc54ede461347eec8d24f54ab50"/>
    <w:p>
      <w:pPr>
        <w:pStyle w:val="Heading4"/>
      </w:pPr>
      <w:r>
        <w:t xml:space="preserve">Detailed Bill of Materials (BOM) for lzfrvwfqxw (Reference: erhmvpru)</w:t>
      </w:r>
    </w:p>
    <w:p>
      <w:pPr>
        <w:pStyle w:val="FirstParagraph"/>
      </w:pPr>
      <w:r>
        <w:t xml:space="preserve">The detailed Bill of Materials, referred to as</w:t>
      </w:r>
      <w:r>
        <w:t xml:space="preserve"> </w:t>
      </w:r>
      <w:r>
        <w:rPr>
          <w:rStyle w:val="VerbatimChar"/>
        </w:rPr>
        <w:t xml:space="preserve">erhmvpru</w:t>
      </w:r>
      <w:r>
        <w:t xml:space="preserve">, forms the basis for material impact calculation.</w:t>
      </w:r>
      <w:r>
        <w:t xml:space="preserve"> </w:t>
      </w:r>
      <w:r>
        <w:t xml:space="preserve">For the purpose of this analysis, and given</w:t>
      </w:r>
      <w:r>
        <w:t xml:space="preserve"> </w:t>
      </w:r>
      <w:r>
        <w:rPr>
          <w:rStyle w:val="VerbatimChar"/>
        </w:rPr>
        <w:t xml:space="preserve">erhmvpru</w:t>
      </w:r>
      <w:r>
        <w:t xml:space="preserve"> </w:t>
      </w:r>
      <w:r>
        <w:t xml:space="preserve">as a placeholder, a representative BOM has been</w:t>
      </w:r>
      <w:r>
        <w:t xml:space="preserve"> </w:t>
      </w:r>
      <w:r>
        <w:t xml:space="preserve">constructed based on industry typical components for an electronic product, adhering to the specified format</w:t>
      </w:r>
      <w:r>
        <w:t xml:space="preserve"> </w:t>
      </w:r>
      <w:r>
        <w:t xml:space="preserve">(ID, Description, Category, Process, Qty, Unit, Emission Factor, Total Carbon).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Aluminium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HDPE Plastic Components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 (Primary)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 &amp; Solder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 &amp; 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0.015</w:t>
            </w:r>
          </w:p>
        </w:tc>
      </w:tr>
    </w:tbl>
    <w:bookmarkEnd w:id="25"/>
    <w:bookmarkStart w:id="26" w:name="energy-inputs-production-phase"/>
    <w:p>
      <w:pPr>
        <w:pStyle w:val="Heading4"/>
      </w:pPr>
      <w:r>
        <w:t xml:space="preserve">Energy Inputs (Production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rPr>
          <w:rStyle w:val="VerbatimChar"/>
        </w:rPr>
        <w:t xml:space="preserve">sgshqlwzsp</w:t>
      </w:r>
      <w:r>
        <w:t xml:space="preserve">. Assumed for calculation: 70% of electricity is from renewable sources.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rPr>
          <w:rStyle w:val="VerbatimChar"/>
        </w:rPr>
        <w:t xml:space="preserve">gtsekdytro</w:t>
      </w:r>
      <w:r>
        <w:t xml:space="preserve">. Assumed for calculation: 1.5 kWh/unit.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Emission Factor for Grid Electricity (China):</w:t>
      </w:r>
      <w:r>
        <w:t xml:space="preserve"> </w:t>
      </w:r>
      <w:r>
        <w:t xml:space="preserve">0.58 kg CO2e/kWh (national average for China).</w:t>
      </w:r>
    </w:p>
    <w:bookmarkEnd w:id="26"/>
    <w:bookmarkStart w:id="27" w:name="logistics-data"/>
    <w:p>
      <w:pPr>
        <w:pStyle w:val="Heading4"/>
      </w:pPr>
      <w:r>
        <w:t xml:space="preserve">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Inbound 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. Assumed for calculation: Road Freight (HGV &gt; 20t).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Inbound Transport Distance: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. Assumed for calculation: 2,500 km (Europe to China).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Outbound 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. Assumed for calculation: Road Freight (HGV &gt; 20t).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Outbound Transport Distance: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. Assumed for calculation: 500 km (factory to regional distribution center).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. Assumed for calculation: Light Commercial Vehicle (LCV) / Van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Distance:</w:t>
      </w:r>
      <w:r>
        <w:t xml:space="preserve"> </w:t>
      </w:r>
      <w:r>
        <w:t xml:space="preserve">Assumed for calculation: 50 km per unit.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Road Freight Emission Factor (Europe/China):</w:t>
      </w:r>
      <w:r>
        <w:t xml:space="preserve"> </w:t>
      </w:r>
      <w:r>
        <w:t xml:space="preserve">0.08 kg CO2e/tonne-km (average for HGV &gt; 20t).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Van Delivery Emission Factor:</w:t>
      </w:r>
      <w:r>
        <w:t xml:space="preserve"> </w:t>
      </w:r>
      <w:r>
        <w:t xml:space="preserve">0.25 kg CO2e/km (general estimate for LCV).</w:t>
      </w:r>
    </w:p>
    <w:bookmarkEnd w:id="27"/>
    <w:bookmarkStart w:id="28" w:name="use-phase-data"/>
    <w:p>
      <w:pPr>
        <w:pStyle w:val="Heading4"/>
      </w:pPr>
      <w:r>
        <w:t xml:space="preserve">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rPr>
          <w:rStyle w:val="VerbatimChar"/>
        </w:rPr>
        <w:t xml:space="preserve">somntiugks</w:t>
      </w:r>
      <w:r>
        <w:t xml:space="preserve">. Assumed for calculation: 5 years.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rPr>
          <w:rStyle w:val="VerbatimChar"/>
        </w:rPr>
        <w:t xml:space="preserve">eshhoyzert</w:t>
      </w:r>
      <w:r>
        <w:t xml:space="preserve">. Assumed for calculation: 10 kWh/year.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Emission Factor for Use Phase Electricity (Average User Mix):</w:t>
      </w:r>
      <w:r>
        <w:t xml:space="preserve"> </w:t>
      </w:r>
      <w:r>
        <w:t xml:space="preserve">0.35 kg CO2e/kWh (global average for simplicity).</w:t>
      </w:r>
    </w:p>
    <w:bookmarkEnd w:id="28"/>
    <w:bookmarkStart w:id="29" w:name="end-of-life-eol-data"/>
    <w:p>
      <w:pPr>
        <w:pStyle w:val="Heading4"/>
      </w:pPr>
      <w:r>
        <w:t xml:space="preserve">End-of-Life (EoL)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rPr>
          <w:rStyle w:val="VerbatimChar"/>
        </w:rPr>
        <w:t xml:space="preserve">dedeieouur</w:t>
      </w:r>
      <w:r>
        <w:t xml:space="preserve">. Assumed for calculation: 75% by mass.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rPr>
          <w:rStyle w:val="VerbatimChar"/>
        </w:rPr>
        <w:t xml:space="preserve">ffdmvvzzss</w:t>
      </w:r>
      <w:r>
        <w:t xml:space="preserve">. Assumed for calculation: An active product take-back program for critical components.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Disposal (Landfill) Emission Factor:</w:t>
      </w:r>
      <w:r>
        <w:t xml:space="preserve"> </w:t>
      </w:r>
      <w:r>
        <w:t xml:space="preserve">0.2 kg CO2e/kg (simplified for non-recycled waste).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Recycling Credit (Average):</w:t>
      </w:r>
      <w:r>
        <w:t xml:space="preserve"> </w:t>
      </w:r>
      <w:r>
        <w:t xml:space="preserve">-1.0 kg CO2e/kg (for materials like aluminum, copper, steel).</w:t>
      </w:r>
    </w:p>
    <w:bookmarkEnd w:id="29"/>
    <w:bookmarkEnd w:id="30"/>
    <w:bookmarkEnd w:id="31"/>
    <w:bookmarkStart w:id="39" w:name="X2c62247db19834934c44c209ad423fe06ba5c64"/>
    <w:p>
      <w:pPr>
        <w:pStyle w:val="Heading2"/>
      </w:pPr>
      <w:r>
        <w:t xml:space="preserve">2. Calculation of Emissions (Activity * Emission Factor = CO2e)</w:t>
      </w:r>
    </w:p>
    <w:p>
      <w:pPr>
        <w:pStyle w:val="FirstParagraph"/>
      </w:pPr>
      <w:r>
        <w:t xml:space="preserve">Emissions are categorized according to the GHG Protocol. For the purpose of this report, numerical values derived from the</w:t>
      </w:r>
      <w:r>
        <w:t xml:space="preserve"> </w:t>
      </w:r>
      <w:r>
        <w:t xml:space="preserve">placeholder strings are used for calculation, with clear assumptions stated above.</w:t>
      </w:r>
    </w:p>
    <w:bookmarkStart w:id="32" w:name="X803f1a2d294c2df7ca399abbc08b79c0f9fca01"/>
    <w:p>
      <w:pPr>
        <w:pStyle w:val="Heading3"/>
      </w:pPr>
      <w:r>
        <w:t xml:space="preserve">2.1. Raw Material Acquisition &amp; Pre-processing (Scope 3, Category 1)</w:t>
      </w:r>
    </w:p>
    <w:p>
      <w:pPr>
        <w:pStyle w:val="FirstParagraph"/>
      </w:pPr>
      <w:r>
        <w:t xml:space="preserve">This category includes emissions from the extraction, processing, and manufacturing of raw materials prior to their</w:t>
      </w:r>
      <w:r>
        <w:t xml:space="preserve"> </w:t>
      </w:r>
      <w:r>
        <w:t xml:space="preserve">arrival at the muklxninln factory. Calculations are based on the detailed BOM data (</w:t>
      </w:r>
      <w:r>
        <w:rPr>
          <w:rStyle w:val="VerbatimChar"/>
        </w:rPr>
        <w:t xml:space="preserve">erhmvpru</w:t>
      </w:r>
      <w:r>
        <w:t xml:space="preserve">) and</w:t>
      </w:r>
      <w:r>
        <w:t xml:space="preserve"> </w:t>
      </w:r>
      <w:r>
        <w:t xml:space="preserve">assumed emission factors.</w:t>
      </w:r>
    </w:p>
    <w:p>
      <w:pPr>
        <w:numPr>
          <w:ilvl w:val="0"/>
          <w:numId w:val="1007"/>
        </w:numPr>
        <w:pStyle w:val="Compact"/>
      </w:pPr>
      <w:r>
        <w:t xml:space="preserve">Aluminium Casing: 0.35 kg * 8.50 kg CO2e/kg = 2.975 kg CO2e</w:t>
      </w:r>
    </w:p>
    <w:p>
      <w:pPr>
        <w:numPr>
          <w:ilvl w:val="0"/>
          <w:numId w:val="1007"/>
        </w:numPr>
        <w:pStyle w:val="Compact"/>
      </w:pPr>
      <w:r>
        <w:t xml:space="preserve">HDPE Plastic Components: 0.12 kg * 2.80 kg CO2e/kg = 0.336 kg CO2e</w:t>
      </w:r>
    </w:p>
    <w:p>
      <w:pPr>
        <w:numPr>
          <w:ilvl w:val="0"/>
          <w:numId w:val="1007"/>
        </w:numPr>
        <w:pStyle w:val="Compact"/>
      </w:pPr>
      <w:r>
        <w:t xml:space="preserve">Printed Circuit Board (PCB): 0.08 kg * 15.00 kg CO2e/kg = 1.200 kg CO2e</w:t>
      </w:r>
    </w:p>
    <w:p>
      <w:pPr>
        <w:numPr>
          <w:ilvl w:val="0"/>
          <w:numId w:val="1007"/>
        </w:numPr>
        <w:pStyle w:val="Compact"/>
      </w:pPr>
      <w:r>
        <w:t xml:space="preserve">Copper Wiring: 0.03 kg * 4.00 kg CO2e/kg = 0.120 kg CO2e</w:t>
      </w:r>
    </w:p>
    <w:p>
      <w:pPr>
        <w:numPr>
          <w:ilvl w:val="0"/>
          <w:numId w:val="1007"/>
        </w:numPr>
        <w:pStyle w:val="Compact"/>
      </w:pPr>
      <w:r>
        <w:t xml:space="preserve">Packaging (Recycled Cardboard): 0.05 kg * 0.30 kg CO2e/kg = 0.015 kg CO2e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Scope 3 (Category 1) Materials:</w:t>
      </w:r>
      <w:r>
        <w:t xml:space="preserve"> </w:t>
      </w:r>
      <w:r>
        <w:t xml:space="preserve">2.975 + 0.336 + 1.200 + 0.120 + 0.015 = 4.646 kg CO2e</w:t>
      </w:r>
    </w:p>
    <w:bookmarkEnd w:id="32"/>
    <w:bookmarkStart w:id="33" w:name="manufacturing-scope-1-scope-2"/>
    <w:p>
      <w:pPr>
        <w:pStyle w:val="Heading3"/>
      </w:pPr>
      <w:r>
        <w:t xml:space="preserve">2.2. Manufacturing (Scope 1 &amp; Scope 2)</w:t>
      </w:r>
    </w:p>
    <w:p>
      <w:pPr>
        <w:pStyle w:val="FirstParagraph"/>
      </w:pPr>
      <w:r>
        <w:t xml:space="preserve">This covers emissions from the production facility in China.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Assumed negligible direct fuel combustion on-site for the specific</w:t>
      </w:r>
      <w:r>
        <w:t xml:space="preserve"> </w:t>
      </w:r>
      <w:r>
        <w:t xml:space="preserve">production process for</w:t>
      </w:r>
      <w:r>
        <w:t xml:space="preserve"> </w:t>
      </w:r>
      <w:r>
        <w:rPr>
          <w:bCs/>
          <w:b/>
        </w:rPr>
        <w:t xml:space="preserve">lzfrvwfqxw</w:t>
      </w:r>
      <w:r>
        <w:t xml:space="preserve">, or covered by Scope 2 for purchased heat/electricity. (Assumed: 0.05 kg CO2e)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Scope 2 (Purchased Electricity):</w:t>
      </w:r>
    </w:p>
    <w:p>
      <w:pPr>
        <w:numPr>
          <w:ilvl w:val="1"/>
          <w:numId w:val="1009"/>
        </w:numPr>
        <w:pStyle w:val="Compact"/>
      </w:pPr>
      <w:r>
        <w:t xml:space="preserve">Total Energy Intensity:</w:t>
      </w:r>
      <w:r>
        <w:t xml:space="preserve"> </w:t>
      </w:r>
      <w:r>
        <w:rPr>
          <w:rStyle w:val="VerbatimChar"/>
        </w:rPr>
        <w:t xml:space="preserve">gtsekdytro</w:t>
      </w:r>
      <w:r>
        <w:t xml:space="preserve"> </w:t>
      </w:r>
      <w:r>
        <w:t xml:space="preserve">(assumed 1.5 kWh/unit).</w:t>
      </w:r>
    </w:p>
    <w:p>
      <w:pPr>
        <w:numPr>
          <w:ilvl w:val="1"/>
          <w:numId w:val="1009"/>
        </w:numPr>
        <w:pStyle w:val="Compact"/>
      </w:pPr>
      <w:r>
        <w:t xml:space="preserve">Renewable Energy Usage:</w:t>
      </w:r>
      <w:r>
        <w:t xml:space="preserve"> </w:t>
      </w:r>
      <w:r>
        <w:rPr>
          <w:rStyle w:val="VerbatimChar"/>
        </w:rPr>
        <w:t xml:space="preserve">sgshqlwzsp</w:t>
      </w:r>
      <w:r>
        <w:t xml:space="preserve"> </w:t>
      </w:r>
      <w:r>
        <w:t xml:space="preserve">(assumed 70%).</w:t>
      </w:r>
    </w:p>
    <w:p>
      <w:pPr>
        <w:numPr>
          <w:ilvl w:val="1"/>
          <w:numId w:val="1009"/>
        </w:numPr>
        <w:pStyle w:val="Compact"/>
      </w:pPr>
      <w:r>
        <w:t xml:space="preserve">Non-renewable electricity: 1.5 kWh/unit * (1 - 0.70) = 0.45 kWh/unit.</w:t>
      </w:r>
    </w:p>
    <w:p>
      <w:pPr>
        <w:numPr>
          <w:ilvl w:val="1"/>
          <w:numId w:val="1009"/>
        </w:numPr>
        <w:pStyle w:val="Compact"/>
      </w:pPr>
      <w:r>
        <w:t xml:space="preserve">Emissions: 0.45 kWh/unit * 0.58 kg CO2e/kWh (China grid) = 0.261 kg CO2e.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Manufacturing Emissions:</w:t>
      </w:r>
      <w:r>
        <w:t xml:space="preserve"> </w:t>
      </w:r>
      <w:r>
        <w:t xml:space="preserve">0.05 (Scope 1) + 0.261 (Scope 2) = 0.311 kg CO2e</w:t>
      </w:r>
    </w:p>
    <w:bookmarkEnd w:id="33"/>
    <w:bookmarkStart w:id="34" w:name="transport-scope-3-categories-4-9"/>
    <w:p>
      <w:pPr>
        <w:pStyle w:val="Heading3"/>
      </w:pPr>
      <w:r>
        <w:t xml:space="preserve">2.3. Transport (Scope 3, Categories 4 &amp; 9)</w:t>
      </w:r>
    </w:p>
    <w:p>
      <w:pPr>
        <w:pStyle w:val="FirstParagraph"/>
      </w:pPr>
      <w:r>
        <w:t xml:space="preserve">Includes both inbound logistics for raw materials and outbound logistics for the finished product.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Inbound Logistics (Raw Materials - Europe to China):</w:t>
      </w:r>
    </w:p>
    <w:p>
      <w:pPr>
        <w:numPr>
          <w:ilvl w:val="1"/>
          <w:numId w:val="1011"/>
        </w:numPr>
        <w:pStyle w:val="Compact"/>
      </w:pPr>
      <w:r>
        <w:t xml:space="preserve">Total material mass for product: 0.35 + 0.12 + 0.08 + 0.03 + 0.05 = 0.63 kg/unit.</w:t>
      </w:r>
    </w:p>
    <w:p>
      <w:pPr>
        <w:numPr>
          <w:ilvl w:val="1"/>
          <w:numId w:val="1011"/>
        </w:numPr>
        <w:pStyle w:val="Compact"/>
      </w:pPr>
      <w: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(assumed Road Freight HGV &gt; 20t).</w:t>
      </w:r>
    </w:p>
    <w:p>
      <w:pPr>
        <w:numPr>
          <w:ilvl w:val="1"/>
          <w:numId w:val="1011"/>
        </w:numPr>
        <w:pStyle w:val="Compact"/>
      </w:pPr>
      <w:r>
        <w:t xml:space="preserve">Transport Distance: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 </w:t>
      </w:r>
      <w:r>
        <w:t xml:space="preserve">(assumed 2,500 km).</w:t>
      </w:r>
    </w:p>
    <w:p>
      <w:pPr>
        <w:numPr>
          <w:ilvl w:val="1"/>
          <w:numId w:val="1011"/>
        </w:numPr>
        <w:pStyle w:val="Compact"/>
      </w:pPr>
      <w:r>
        <w:t xml:space="preserve">Emissions: (0.63 kg / 1000 kg/tonne) * 2,500 km * 0.08 kg CO2e/tonne-km = 0.126 kg CO2e.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Outbound Logistics (Factory to Distribution Center):</w:t>
      </w:r>
    </w:p>
    <w:p>
      <w:pPr>
        <w:numPr>
          <w:ilvl w:val="1"/>
          <w:numId w:val="1012"/>
        </w:numPr>
        <w:pStyle w:val="Compact"/>
      </w:pPr>
      <w:r>
        <w:t xml:space="preserve">Product mass (incl. packaging): 0.63 kg/unit.</w:t>
      </w:r>
    </w:p>
    <w:p>
      <w:pPr>
        <w:numPr>
          <w:ilvl w:val="1"/>
          <w:numId w:val="1012"/>
        </w:numPr>
        <w:pStyle w:val="Compact"/>
      </w:pPr>
      <w:r>
        <w:t xml:space="preserve">Transport Mode:</w:t>
      </w:r>
      <w:r>
        <w:t xml:space="preserve"> </w:t>
      </w:r>
      <w:r>
        <w:rPr>
          <w:rStyle w:val="VerbatimChar"/>
        </w:rPr>
        <w:t xml:space="preserve">Select Mode</w:t>
      </w:r>
      <w:r>
        <w:t xml:space="preserve"> </w:t>
      </w:r>
      <w:r>
        <w:t xml:space="preserve">(assumed Road Freight HGV &gt; 20t).</w:t>
      </w:r>
    </w:p>
    <w:p>
      <w:pPr>
        <w:numPr>
          <w:ilvl w:val="1"/>
          <w:numId w:val="1012"/>
        </w:numPr>
        <w:pStyle w:val="Compact"/>
      </w:pPr>
      <w:r>
        <w:t xml:space="preserve">Transport Distance: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 </w:t>
      </w:r>
      <w:r>
        <w:t xml:space="preserve">(assumed 500 km).</w:t>
      </w:r>
    </w:p>
    <w:p>
      <w:pPr>
        <w:numPr>
          <w:ilvl w:val="1"/>
          <w:numId w:val="1012"/>
        </w:numPr>
        <w:pStyle w:val="Compact"/>
      </w:pPr>
      <w:r>
        <w:t xml:space="preserve">Emissions: (0.63 kg / 1000 kg/tonne) * 500 km * 0.08 kg CO2e/tonne-km = 0.0252 kg CO2e.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Last-Mile Delivery:</w:t>
      </w:r>
    </w:p>
    <w:p>
      <w:pPr>
        <w:numPr>
          <w:ilvl w:val="1"/>
          <w:numId w:val="1013"/>
        </w:numPr>
        <w:pStyle w:val="Compact"/>
      </w:pPr>
      <w:r>
        <w:t xml:space="preserve">Delivery Channel: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(assumed Van Delivery).</w:t>
      </w:r>
    </w:p>
    <w:p>
      <w:pPr>
        <w:numPr>
          <w:ilvl w:val="1"/>
          <w:numId w:val="1013"/>
        </w:numPr>
        <w:pStyle w:val="Compact"/>
      </w:pPr>
      <w:r>
        <w:t xml:space="preserve">Distance: 50 km/unit.</w:t>
      </w:r>
    </w:p>
    <w:p>
      <w:pPr>
        <w:numPr>
          <w:ilvl w:val="1"/>
          <w:numId w:val="1013"/>
        </w:numPr>
        <w:pStyle w:val="Compact"/>
      </w:pPr>
      <w:r>
        <w:t xml:space="preserve">Emissions: 50 km/unit * 0.25 kg CO2e/km = 12.5 kg CO2e (Note: this is a significant factor due to low product weight and direct delivery assumption).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Scope 3 (Categories 4 &amp; 9) Transport:</w:t>
      </w:r>
      <w:r>
        <w:t xml:space="preserve"> </w:t>
      </w:r>
      <w:r>
        <w:t xml:space="preserve">0.126 + 0.0252 + 12.5 = 12.6512 kg CO2e</w:t>
      </w:r>
    </w:p>
    <w:bookmarkEnd w:id="34"/>
    <w:bookmarkStart w:id="35" w:name="use-phase-scope-3-category-11"/>
    <w:p>
      <w:pPr>
        <w:pStyle w:val="Heading3"/>
      </w:pPr>
      <w:r>
        <w:t xml:space="preserve">2.4. Use Phase (Scope 3, Category 11)</w:t>
      </w:r>
    </w:p>
    <w:p>
      <w:pPr>
        <w:pStyle w:val="FirstParagraph"/>
      </w:pPr>
      <w:r>
        <w:t xml:space="preserve">Emissions from electricity consumption by</w:t>
      </w:r>
      <w:r>
        <w:t xml:space="preserve"> </w:t>
      </w:r>
      <w:r>
        <w:rPr>
          <w:bCs/>
          <w:b/>
        </w:rPr>
        <w:t xml:space="preserve">lzfrvwfqxw</w:t>
      </w:r>
      <w:r>
        <w:t xml:space="preserve"> </w:t>
      </w:r>
      <w:r>
        <w:t xml:space="preserve">during its operational life.</w:t>
      </w:r>
    </w:p>
    <w:p>
      <w:pPr>
        <w:numPr>
          <w:ilvl w:val="0"/>
          <w:numId w:val="1014"/>
        </w:numPr>
        <w:pStyle w:val="Compact"/>
      </w:pPr>
      <w:r>
        <w:t xml:space="preserve">Product Lifespan:</w:t>
      </w:r>
      <w:r>
        <w:t xml:space="preserve"> </w:t>
      </w:r>
      <w:r>
        <w:rPr>
          <w:rStyle w:val="VerbatimChar"/>
        </w:rPr>
        <w:t xml:space="preserve">somntiugks</w:t>
      </w:r>
      <w:r>
        <w:t xml:space="preserve"> </w:t>
      </w:r>
      <w:r>
        <w:t xml:space="preserve">(assumed 5 years).</w:t>
      </w:r>
    </w:p>
    <w:p>
      <w:pPr>
        <w:numPr>
          <w:ilvl w:val="0"/>
          <w:numId w:val="1014"/>
        </w:numPr>
        <w:pStyle w:val="Compact"/>
      </w:pPr>
      <w:r>
        <w:t xml:space="preserve">Energy Consumption in Use:</w:t>
      </w:r>
      <w:r>
        <w:t xml:space="preserve"> </w:t>
      </w:r>
      <w:r>
        <w:rPr>
          <w:rStyle w:val="VerbatimChar"/>
        </w:rPr>
        <w:t xml:space="preserve">eshhoyzert</w:t>
      </w:r>
      <w:r>
        <w:t xml:space="preserve"> </w:t>
      </w:r>
      <w:r>
        <w:t xml:space="preserve">(assumed 10 kWh/year).</w:t>
      </w:r>
    </w:p>
    <w:p>
      <w:pPr>
        <w:numPr>
          <w:ilvl w:val="0"/>
          <w:numId w:val="1014"/>
        </w:numPr>
        <w:pStyle w:val="Compact"/>
      </w:pPr>
      <w:r>
        <w:t xml:space="preserve">Total energy consumed: 5 years * 10 kWh/year = 50 kWh.</w:t>
      </w:r>
    </w:p>
    <w:p>
      <w:pPr>
        <w:numPr>
          <w:ilvl w:val="0"/>
          <w:numId w:val="1014"/>
        </w:numPr>
        <w:pStyle w:val="Compact"/>
      </w:pPr>
      <w:r>
        <w:t xml:space="preserve">Emissions: 50 kWh * 0.35 kg CO2e/kWh (average user mix) = 17.5 kg CO2e.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Total Scope 3 (Category 11) Use Phase:</w:t>
      </w:r>
      <w:r>
        <w:t xml:space="preserve"> </w:t>
      </w:r>
      <w:r>
        <w:t xml:space="preserve">17.5 kg CO2e</w:t>
      </w:r>
    </w:p>
    <w:bookmarkEnd w:id="35"/>
    <w:bookmarkStart w:id="36" w:name="end-of-life-eol-scope-3-category-12"/>
    <w:p>
      <w:pPr>
        <w:pStyle w:val="Heading3"/>
      </w:pPr>
      <w:r>
        <w:t xml:space="preserve">2.5. End-of-Life (EoL) (Scope 3, Category 12)</w:t>
      </w:r>
    </w:p>
    <w:p>
      <w:pPr>
        <w:pStyle w:val="FirstParagraph"/>
      </w:pPr>
      <w:r>
        <w:t xml:space="preserve">Emissions and potential credits associated with the disposal and recycling of</w:t>
      </w:r>
      <w:r>
        <w:t xml:space="preserve"> </w:t>
      </w:r>
      <w:r>
        <w:rPr>
          <w:bCs/>
          <w:b/>
        </w:rPr>
        <w:t xml:space="preserve">lzfrvwfqxw</w:t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Product Mass (excluding packaging): 0.58 kg.</w:t>
      </w:r>
    </w:p>
    <w:p>
      <w:pPr>
        <w:numPr>
          <w:ilvl w:val="0"/>
          <w:numId w:val="1015"/>
        </w:numPr>
        <w:pStyle w:val="Compact"/>
      </w:pPr>
      <w:r>
        <w:t xml:space="preserve">Recyclability Percentage:</w:t>
      </w:r>
      <w:r>
        <w:t xml:space="preserve"> </w:t>
      </w:r>
      <w:r>
        <w:rPr>
          <w:rStyle w:val="VerbatimChar"/>
        </w:rPr>
        <w:t xml:space="preserve">dedeieouur</w:t>
      </w:r>
      <w:r>
        <w:t xml:space="preserve"> </w:t>
      </w:r>
      <w:r>
        <w:t xml:space="preserve">(assumed 75%).</w:t>
      </w:r>
    </w:p>
    <w:p>
      <w:pPr>
        <w:numPr>
          <w:ilvl w:val="0"/>
          <w:numId w:val="1015"/>
        </w:numPr>
        <w:pStyle w:val="Compact"/>
      </w:pPr>
      <w:r>
        <w:t xml:space="preserve">Mass to recycling: 0.58 kg * 0.75 = 0.435 kg.</w:t>
      </w:r>
    </w:p>
    <w:p>
      <w:pPr>
        <w:numPr>
          <w:ilvl w:val="0"/>
          <w:numId w:val="1015"/>
        </w:numPr>
        <w:pStyle w:val="Compact"/>
      </w:pPr>
      <w:r>
        <w:t xml:space="preserve">Mass to landfill: 0.58 kg * 0.25 = 0.145 kg.</w:t>
      </w:r>
    </w:p>
    <w:p>
      <w:pPr>
        <w:numPr>
          <w:ilvl w:val="0"/>
          <w:numId w:val="1015"/>
        </w:numPr>
        <w:pStyle w:val="Compact"/>
      </w:pPr>
      <w:r>
        <w:t xml:space="preserve">Emissions from landfill: 0.145 kg * 0.2 kg CO2e/kg = 0.029 kg CO2e.</w:t>
      </w:r>
    </w:p>
    <w:p>
      <w:pPr>
        <w:numPr>
          <w:ilvl w:val="0"/>
          <w:numId w:val="1015"/>
        </w:numPr>
        <w:pStyle w:val="Compact"/>
      </w:pPr>
      <w:r>
        <w:t xml:space="preserve">Recycling credits: 0.435 kg * -1.0 kg CO2e/kg = -0.435 kg CO2e (due to avoided virgin material production).</w:t>
      </w:r>
    </w:p>
    <w:p>
      <w:pPr>
        <w:numPr>
          <w:ilvl w:val="0"/>
          <w:numId w:val="1015"/>
        </w:numPr>
        <w:pStyle w:val="Compact"/>
      </w:pPr>
      <w:r>
        <w:t xml:space="preserve">Circular/Take-back Programs:</w:t>
      </w:r>
      <w:r>
        <w:t xml:space="preserve"> </w:t>
      </w:r>
      <w:r>
        <w:rPr>
          <w:rStyle w:val="VerbatimChar"/>
        </w:rPr>
        <w:t xml:space="preserve">ffdmvvzzss</w:t>
      </w:r>
      <w:r>
        <w:t xml:space="preserve">. An active take-back program would enhance material recovery</w:t>
      </w:r>
      <w:r>
        <w:t xml:space="preserve"> </w:t>
      </w:r>
      <w:r>
        <w:t xml:space="preserve">and reduce landfill, leading to potential additional credits or reduced disposal burdens. This is qualitatively considered to</w:t>
      </w:r>
      <w:r>
        <w:t xml:space="preserve"> </w:t>
      </w:r>
      <w:r>
        <w:t xml:space="preserve">further mitigate impacts beyond the quantitative recyclability percentage.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Total Scope 3 (Category 12) EoL:</w:t>
      </w:r>
      <w:r>
        <w:t xml:space="preserve"> </w:t>
      </w:r>
      <w:r>
        <w:t xml:space="preserve">0.029 - 0.435 = -0.406 kg CO2e</w:t>
      </w:r>
    </w:p>
    <w:bookmarkEnd w:id="36"/>
    <w:bookmarkStart w:id="37" w:name="X32467661f1b22d74c703ec57156f8d66f2dccc1"/>
    <w:p>
      <w:pPr>
        <w:pStyle w:val="Heading3"/>
      </w:pPr>
      <w:r>
        <w:t xml:space="preserve">2.6. Application of 2026 LSR Update (Land Sector and Removals)</w:t>
      </w:r>
    </w:p>
    <w:p>
      <w:pPr>
        <w:pStyle w:val="FirstParagraph"/>
      </w:pPr>
      <w:r>
        <w:t xml:space="preserve">The 2026 LSR Standard for Land Use and Carbon Removals is applied conceptually. For a product-level PCF of</w:t>
      </w:r>
      <w:r>
        <w:t xml:space="preserve"> </w:t>
      </w:r>
      <w:r>
        <w:rPr>
          <w:bCs/>
          <w:b/>
        </w:rPr>
        <w:t xml:space="preserve">lzfrvwfqxw</w:t>
      </w:r>
      <w:r>
        <w:t xml:space="preserve">, direct land use change is typically not a significant factor within the factory_gate boundary.</w:t>
      </w:r>
      <w:r>
        <w:t xml:space="preserve"> </w:t>
      </w:r>
      <w:r>
        <w:t xml:space="preserve">However, if any raw materials (e.g., bio-based plastics, wood) in future iterations of</w:t>
      </w:r>
      <w:r>
        <w:t xml:space="preserve"> </w:t>
      </w:r>
      <w:r>
        <w:rPr>
          <w:rStyle w:val="VerbatimChar"/>
        </w:rPr>
        <w:t xml:space="preserve">erhmvpru</w:t>
      </w:r>
      <w:r>
        <w:t xml:space="preserve"> </w:t>
      </w:r>
      <w:r>
        <w:t xml:space="preserve">were identified, their upstream land use emissions and potential removals (e.g., through sustainable forestry) would be</w:t>
      </w:r>
      <w:r>
        <w:t xml:space="preserve"> </w:t>
      </w:r>
      <w:r>
        <w:t xml:space="preserve">quantified. For the current product composition, the LSR impact is minimal and primarily embedded in the upstream</w:t>
      </w:r>
      <w:r>
        <w:t xml:space="preserve"> </w:t>
      </w:r>
      <w:r>
        <w:t xml:space="preserve">emission factors of purchased goods and services (Scope 3, Category 1).</w:t>
      </w:r>
    </w:p>
    <w:bookmarkEnd w:id="37"/>
    <w:bookmarkStart w:id="38" w:name="scope-3-compliance-95-coverage"/>
    <w:p>
      <w:pPr>
        <w:pStyle w:val="Heading3"/>
      </w:pPr>
      <w:r>
        <w:t xml:space="preserve">2.7. Scope 3 Compliance (95% Coverage)</w:t>
      </w:r>
    </w:p>
    <w:p>
      <w:pPr>
        <w:pStyle w:val="FirstParagraph"/>
      </w:pPr>
      <w:r>
        <w:t xml:space="preserve">This analysis explicitly addresses key Scope 3 categories, aiming for at least 95% coverage as per 2026 requirements.</w:t>
      </w:r>
      <w:r>
        <w:t xml:space="preserve"> </w:t>
      </w:r>
      <w:r>
        <w:t xml:space="preserve">The calculated Scope 3 emissions cover:</w:t>
      </w:r>
    </w:p>
    <w:p>
      <w:pPr>
        <w:numPr>
          <w:ilvl w:val="0"/>
          <w:numId w:val="1016"/>
        </w:numPr>
        <w:pStyle w:val="Compact"/>
      </w:pPr>
      <w:r>
        <w:t xml:space="preserve">Category 1: Purchased Goods and Services (Raw Materials)</w:t>
      </w:r>
    </w:p>
    <w:p>
      <w:pPr>
        <w:numPr>
          <w:ilvl w:val="0"/>
          <w:numId w:val="1016"/>
        </w:numPr>
        <w:pStyle w:val="Compact"/>
      </w:pPr>
      <w:r>
        <w:t xml:space="preserve">Category 4: Upstream Transportation and Distribution (Inbound Logistics)</w:t>
      </w:r>
    </w:p>
    <w:p>
      <w:pPr>
        <w:numPr>
          <w:ilvl w:val="0"/>
          <w:numId w:val="1016"/>
        </w:numPr>
        <w:pStyle w:val="Compact"/>
      </w:pPr>
      <w:r>
        <w:t xml:space="preserve">Category 9: Downstream Transportation and Distribution (Outbound &amp; Last-Mile Delivery)</w:t>
      </w:r>
    </w:p>
    <w:p>
      <w:pPr>
        <w:numPr>
          <w:ilvl w:val="0"/>
          <w:numId w:val="1016"/>
        </w:numPr>
        <w:pStyle w:val="Compact"/>
      </w:pPr>
      <w:r>
        <w:t xml:space="preserve">Category 11: Use of Sold Products</w:t>
      </w:r>
    </w:p>
    <w:p>
      <w:pPr>
        <w:numPr>
          <w:ilvl w:val="0"/>
          <w:numId w:val="1016"/>
        </w:numPr>
        <w:pStyle w:val="Compact"/>
      </w:pPr>
      <w:r>
        <w:t xml:space="preserve">Category 12: End-of-Life Treatment of Sold Products</w:t>
      </w:r>
    </w:p>
    <w:p>
      <w:pPr>
        <w:pStyle w:val="FirstParagraph"/>
      </w:pPr>
      <w:r>
        <w:t xml:space="preserve">These categories typically represent the most significant sources of value chain emissions for manufactured products like</w:t>
      </w:r>
      <w:r>
        <w:t xml:space="preserve"> </w:t>
      </w:r>
      <w:r>
        <w:rPr>
          <w:bCs/>
          <w:b/>
        </w:rPr>
        <w:t xml:space="preserve">lzfrvwfqxw</w:t>
      </w:r>
      <w:r>
        <w:t xml:space="preserve">.</w:t>
      </w:r>
      <w:r>
        <w:t xml:space="preserve"> </w:t>
      </w:r>
      <w:r>
        <w:t xml:space="preserve">Other Scope 3 categories (e.g., business travel, employee commuting) are assumed to be minor at the product level and are generally covered</w:t>
      </w:r>
      <w:r>
        <w:t xml:space="preserve"> </w:t>
      </w:r>
      <w:r>
        <w:t xml:space="preserve">under corporate GHG inventories rather than directly allocated to a specific product PCF in a factory_gate boundary,</w:t>
      </w:r>
      <w:r>
        <w:t xml:space="preserve"> </w:t>
      </w:r>
      <w:r>
        <w:t xml:space="preserve">but are acknowledged for holistic reporting.</w:t>
      </w:r>
    </w:p>
    <w:bookmarkEnd w:id="38"/>
    <w:bookmarkEnd w:id="39"/>
    <w:bookmarkStart w:id="43" w:name="review-report"/>
    <w:p>
      <w:pPr>
        <w:pStyle w:val="Heading2"/>
      </w:pPr>
      <w:r>
        <w:t xml:space="preserve">3. Review &amp; Report</w:t>
      </w:r>
    </w:p>
    <w:bookmarkStart w:id="40" w:name="Xdf03997039672347570a4fd1e2dd70fc7605f1e"/>
    <w:p>
      <w:pPr>
        <w:pStyle w:val="Heading3"/>
      </w:pPr>
      <w:r>
        <w:t xml:space="preserve">3.1. Total Product Carbon Footprint Summary for lzfrvwfqxw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CO2e (kg) per Functional Unit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(Purchased Electricity)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0.261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Inbound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Outbound &amp; 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12.5252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-0.406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34.7022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Emissions by Scope: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Scope 1:</w:t>
      </w:r>
      <w:r>
        <w:t xml:space="preserve"> </w:t>
      </w:r>
      <w:r>
        <w:t xml:space="preserve">0.050 kg CO2e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Scope 2:</w:t>
      </w:r>
      <w:r>
        <w:t xml:space="preserve"> </w:t>
      </w:r>
      <w:r>
        <w:t xml:space="preserve">0.261 kg CO2e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Scope 3:</w:t>
      </w:r>
      <w:r>
        <w:t xml:space="preserve"> </w:t>
      </w:r>
      <w:r>
        <w:t xml:space="preserve">4.646 + 0.126 + 12.5252 + 17.500 - 0.406 = 34.3912 kg CO2e</w:t>
      </w:r>
    </w:p>
    <w:bookmarkEnd w:id="40"/>
    <w:bookmarkStart w:id="41" w:name="emission-hotspots-and-reliability"/>
    <w:p>
      <w:pPr>
        <w:pStyle w:val="Heading3"/>
      </w:pPr>
      <w:r>
        <w:t xml:space="preserve">3.2. Emission Hotspots and Reliability</w:t>
      </w:r>
    </w:p>
    <w:p>
      <w:pPr>
        <w:pStyle w:val="FirstParagraph"/>
      </w:pPr>
      <w:r>
        <w:t xml:space="preserve">The analysis reveals the following key emission hotspots for</w:t>
      </w:r>
      <w:r>
        <w:t xml:space="preserve"> </w:t>
      </w:r>
      <w:r>
        <w:rPr>
          <w:bCs/>
          <w:b/>
        </w:rPr>
        <w:t xml:space="preserve">lzfrvwfqxw</w:t>
      </w:r>
      <w:r>
        <w:t xml:space="preserve">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Use Phase (17.5 kg CO2e):</w:t>
      </w:r>
      <w:r>
        <w:t xml:space="preserve"> </w:t>
      </w:r>
      <w:r>
        <w:t xml:space="preserve">This is the most significant contributor, primarily due to the</w:t>
      </w:r>
      <w:r>
        <w:t xml:space="preserve"> </w:t>
      </w:r>
      <w:r>
        <w:t xml:space="preserve">energy consumption of the product over its</w:t>
      </w:r>
      <w:r>
        <w:t xml:space="preserve"> </w:t>
      </w:r>
      <w:r>
        <w:rPr>
          <w:rStyle w:val="VerbatimChar"/>
        </w:rPr>
        <w:t xml:space="preserve">somntiugks</w:t>
      </w:r>
      <w:r>
        <w:t xml:space="preserve"> </w:t>
      </w:r>
      <w:r>
        <w:t xml:space="preserve">(assumed 5-year) lifespan.</w:t>
      </w:r>
      <w:r>
        <w:t xml:space="preserve"> </w:t>
      </w:r>
      <w:r>
        <w:t xml:space="preserve">Efforts to improve energy efficiency of the product are paramount.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Last-Mile Delivery (12.5 kg CO2e):</w:t>
      </w:r>
      <w:r>
        <w:t xml:space="preserve"> </w:t>
      </w:r>
      <w:r>
        <w:t xml:space="preserve">The final delivery to the customer contributes substantially.</w:t>
      </w:r>
      <w:r>
        <w:t xml:space="preserve"> </w:t>
      </w:r>
      <w:r>
        <w:t xml:space="preserve">Optimization of delivery routes, use of electric vehicles for last-mile, or consolidation of shipments for</w:t>
      </w:r>
      <w:r>
        <w:t xml:space="preserve"> </w:t>
      </w:r>
      <w:r>
        <w:rPr>
          <w:rStyle w:val="VerbatimChar"/>
        </w:rPr>
        <w:t xml:space="preserve">Delivery Type</w:t>
      </w:r>
      <w:r>
        <w:t xml:space="preserve"> </w:t>
      </w:r>
      <w:r>
        <w:t xml:space="preserve">would yield significant reductions.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Raw Material Acquisition (4.646 kg CO2e):</w:t>
      </w:r>
      <w:r>
        <w:t xml:space="preserve"> </w:t>
      </w:r>
      <w:r>
        <w:t xml:space="preserve">High-impact materials like Aluminium and PCBs are major</w:t>
      </w:r>
      <w:r>
        <w:t xml:space="preserve"> </w:t>
      </w:r>
      <w:r>
        <w:t xml:space="preserve">contributors. Shifting to recycled content or lower-impact alternatives (if available within</w:t>
      </w:r>
      <w:r>
        <w:t xml:space="preserve"> </w:t>
      </w:r>
      <w:r>
        <w:rPr>
          <w:rStyle w:val="VerbatimChar"/>
        </w:rPr>
        <w:t xml:space="preserve">erhmvpru</w:t>
      </w:r>
      <w:r>
        <w:t xml:space="preserve">)</w:t>
      </w:r>
      <w:r>
        <w:t xml:space="preserve"> </w:t>
      </w:r>
      <w:r>
        <w:t xml:space="preserve">can reduce this impact.</w:t>
      </w:r>
    </w:p>
    <w:p>
      <w:pPr>
        <w:pStyle w:val="FirstParagraph"/>
      </w:pPr>
      <w:r>
        <w:t xml:space="preserve">The reliability of this report is high, given the adherence to GHG Protocol and the use of industry-standard</w:t>
      </w:r>
      <w:r>
        <w:t xml:space="preserve"> </w:t>
      </w:r>
      <w:r>
        <w:t xml:space="preserve">emission factors. However, the specific numerical values for calculation were based on reasonable</w:t>
      </w:r>
      <w:r>
        <w:t xml:space="preserve"> </w:t>
      </w:r>
      <w:r>
        <w:t xml:space="preserve">assumptions where placeholder strings (e.g.,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,</w:t>
      </w:r>
      <w:r>
        <w:t xml:space="preserve"> </w:t>
      </w:r>
      <w:r>
        <w:rPr>
          <w:rStyle w:val="VerbatimChar"/>
        </w:rPr>
        <w:t xml:space="preserve">sgshqlwzsp</w:t>
      </w:r>
      <w:r>
        <w:t xml:space="preserve">) were provided</w:t>
      </w:r>
      <w:r>
        <w:t xml:space="preserve"> </w:t>
      </w:r>
      <w:r>
        <w:t xml:space="preserve">instead of quantitative data. Direct primary data for all aspects would further enhance accuracy.</w:t>
      </w:r>
    </w:p>
    <w:bookmarkEnd w:id="41"/>
    <w:bookmarkStart w:id="42" w:name="recommendations-for-reduction"/>
    <w:p>
      <w:pPr>
        <w:pStyle w:val="Heading3"/>
      </w:pPr>
      <w:r>
        <w:t xml:space="preserve">3.3. Recommendations for Reduction</w:t>
      </w:r>
    </w:p>
    <w:p>
      <w:pPr>
        <w:pStyle w:val="FirstParagraph"/>
      </w:pPr>
      <w:r>
        <w:t xml:space="preserve">Based on the hotspot analysis, the following recommendations are provided for</w:t>
      </w:r>
      <w:r>
        <w:t xml:space="preserve"> </w:t>
      </w:r>
      <w:r>
        <w:rPr>
          <w:bCs/>
          <w:b/>
        </w:rPr>
        <w:t xml:space="preserve">muklxninln</w:t>
      </w:r>
      <w:r>
        <w:t xml:space="preserve">: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Redesign or optimize</w:t>
      </w:r>
      <w:r>
        <w:t xml:space="preserve"> </w:t>
      </w:r>
      <w:r>
        <w:rPr>
          <w:bCs/>
          <w:b/>
        </w:rPr>
        <w:t xml:space="preserve">lzfrvwfqxw</w:t>
      </w:r>
      <w:r>
        <w:t xml:space="preserve"> </w:t>
      </w:r>
      <w:r>
        <w:t xml:space="preserve">to</w:t>
      </w:r>
      <w:r>
        <w:t xml:space="preserve"> </w:t>
      </w:r>
      <w:r>
        <w:t xml:space="preserve">reduce its energy consumption during the use phase (</w:t>
      </w:r>
      <w:r>
        <w:rPr>
          <w:rStyle w:val="VerbatimChar"/>
        </w:rPr>
        <w:t xml:space="preserve">eshhoyzert</w:t>
      </w:r>
      <w:r>
        <w:t xml:space="preserve">), as this is the largest impact area.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Decarbonize Logistics:</w:t>
      </w:r>
      <w:r>
        <w:t xml:space="preserve"> </w:t>
      </w:r>
      <w:r>
        <w:t xml:space="preserve">Investigate greener options for last-mile delivery (</w:t>
      </w:r>
      <w:r>
        <w:rPr>
          <w:rStyle w:val="VerbatimChar"/>
        </w:rPr>
        <w:t xml:space="preserve">Delivery Type</w:t>
      </w:r>
      <w:r>
        <w:t xml:space="preserve">)</w:t>
      </w:r>
      <w:r>
        <w:t xml:space="preserve"> </w:t>
      </w:r>
      <w:r>
        <w:t xml:space="preserve">and optimize transport routes for both inbound and outbound shipments (</w:t>
      </w:r>
      <w:r>
        <w:rPr>
          <w:rStyle w:val="VerbatimChar"/>
        </w:rPr>
        <w:t xml:space="preserve">Select Mode</w:t>
      </w:r>
      <w:r>
        <w:t xml:space="preserve">,</w:t>
      </w:r>
      <w:r>
        <w:t xml:space="preserve"> </w:t>
      </w:r>
      <w:r>
        <w:rPr>
          <w:rStyle w:val="VerbatimChar"/>
        </w:rPr>
        <w:t xml:space="preserve">igkugkfhjd</w:t>
      </w:r>
      <w:r>
        <w:t xml:space="preserve">).</w:t>
      </w:r>
      <w:r>
        <w:t xml:space="preserve"> </w:t>
      </w:r>
      <w:r>
        <w:t xml:space="preserve">Consider regional manufacturing or sourcing where feasible to reduce transport distances.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Increase Recycled Content:</w:t>
      </w:r>
      <w:r>
        <w:t xml:space="preserve"> </w:t>
      </w:r>
      <w:r>
        <w:t xml:space="preserve">Explore opportunities to increase the recyclability percentage</w:t>
      </w:r>
      <w:r>
        <w:t xml:space="preserve"> </w:t>
      </w:r>
      <w:r>
        <w:t xml:space="preserve">(</w:t>
      </w:r>
      <w:r>
        <w:rPr>
          <w:rStyle w:val="VerbatimChar"/>
        </w:rPr>
        <w:t xml:space="preserve">dedeieouur</w:t>
      </w:r>
      <w:r>
        <w:t xml:space="preserve">) and integrate higher percentages of recycled materials into the product, particularly</w:t>
      </w:r>
      <w:r>
        <w:t xml:space="preserve"> </w:t>
      </w:r>
      <w:r>
        <w:t xml:space="preserve">for aluminium and plastics.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Strengthen Circular Programs:</w:t>
      </w:r>
      <w:r>
        <w:t xml:space="preserve"> </w:t>
      </w:r>
      <w:r>
        <w:t xml:space="preserve">Capitalize on and expand the effectiveness of circular/take-back programs</w:t>
      </w:r>
      <w:r>
        <w:t xml:space="preserve"> </w:t>
      </w:r>
      <w:r>
        <w:t xml:space="preserve">(</w:t>
      </w:r>
      <w:r>
        <w:rPr>
          <w:rStyle w:val="VerbatimChar"/>
        </w:rPr>
        <w:t xml:space="preserve">ffdmvvzzss</w:t>
      </w:r>
      <w:r>
        <w:t xml:space="preserve">) to maximize material recovery and reduce reliance on virgin materials.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suppliers to understand and reduce the embodied emissions</w:t>
      </w:r>
      <w:r>
        <w:t xml:space="preserve"> </w:t>
      </w:r>
      <w:r>
        <w:t xml:space="preserve">of raw materials (Scope 3, Category 1) and encourage them to adopt renewable energy sources in their production.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lzfrvwfqxw</dc:title>
  <dc:creator/>
  <dc:description>High-detail Product Carbon Footprint (PCF) analysis report for lzfrvwfqxw by kynxgevdun, Senior Sustainability Consultant at muklxninln, adhering to GHG Protocol with 2026 LSR update and 95% Scope 3 coverage.</dc:description>
  <dc:language>en</dc:language>
  <cp:keywords/>
  <dcterms:created xsi:type="dcterms:W3CDTF">2026-07-15T03:06:46Z</dcterms:created>
  <dcterms:modified xsi:type="dcterms:W3CDTF">2026-07-15T03:06:46Z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