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lypgijrxdm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lypgijrxdm</w:t>
      </w:r>
    </w:p>
    <w:p>
      <w:pPr>
        <w:pStyle w:val="BodyText"/>
      </w:pPr>
      <w:r>
        <w:t xml:space="preserve">Company: uzsiwzurkg</w:t>
      </w:r>
    </w:p>
    <w:p>
      <w:pPr>
        <w:pStyle w:val="BodyText"/>
      </w:pPr>
      <w:r>
        <w:t xml:space="preserve">Senior Sustainability Consultant: udjommjtso</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certain assumptions, particularly regarding placeholder data, may impact precise quantification. This report is intended for informational and strategic planning purposes.</w:t>
      </w:r>
    </w:p>
    <w:bookmarkEnd w:id="20"/>
    <w:bookmarkStart w:id="41" w:name="Xe81ec70fab3c3b97bee7b940e04065ff6909637"/>
    <w:p>
      <w:pPr>
        <w:pStyle w:val="Heading1"/>
      </w:pPr>
      <w:r>
        <w:t xml:space="preserve">Product Carbon Footprint (PCF) Analysis for lypgijrxdm</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udjommjtso</w:t>
      </w:r>
    </w:p>
    <w:p>
      <w:pPr>
        <w:pStyle w:val="BodyText"/>
      </w:pPr>
      <w:r>
        <w:t xml:space="preserve">This report presents a high-detail Product Carbon Footprint (PCF) analysis for the product lypgijrxdm, manufactured by uzsiwzurkg. The analysis adheres strictly to the GHG Protocol standards, encompassing Scope 1, Scope 2, and Scope 3 emissions, and incorporates the latest 2026 Land Sector and Removals (LSR) Standard updates where applicable. The primary objective is to quantify the total greenhouse gas (GHG) emissions associated with the product\'s lifecycle, identify key emission hotspots, and provide a foundation for sustainability improvements.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lypgijrxdm has been calculated to be approximately</w:t>
      </w:r>
      <w:r>
        <w:t xml:space="preserve"> </w:t>
      </w:r>
      <w:r>
        <w:rPr>
          <w:bCs/>
          <w:b/>
        </w:rPr>
        <w:t xml:space="preserve">33.50 kg CO2e per functional unit</w:t>
      </w:r>
      <w:r>
        <w:t xml:space="preserve">. The most significant contributions to this footprint stem from the Purchased Goods and Services (materials), followed by the Use Phase and Production energy. The End-of-Life phase demonstrates a net carbon saving due to the product\'s high recyclability, highlighting the positive impact of circular economy initiatives. This analysis provides uzsiwzurkg with critical insights into its product\'s environmental impact, identifying areas for targeted emission reduction strategies throughout the product lifecycle.</w:t>
      </w:r>
    </w:p>
    <w:p>
      <w:r>
        <w:pict>
          <v:rect style="width:0;height:1.5pt" o:hralign="center" o:hrstd="t" o:hr="t"/>
        </w:pict>
      </w:r>
    </w:p>
    <w:bookmarkEnd w:id="21"/>
    <w:bookmarkStart w:id="39" w:name="methodology"/>
    <w:p>
      <w:pPr>
        <w:pStyle w:val="Heading2"/>
      </w:pPr>
      <w:r>
        <w:t xml:space="preserve">Methodology</w:t>
      </w:r>
    </w:p>
    <w:p>
      <w:pPr>
        <w:pStyle w:val="FirstParagraph"/>
      </w:pPr>
      <w:r>
        <w:t xml:space="preserve">The Product Carbon Footprint (PCF) analysis for lypgijrxdm follows a robust methodology aligned with the GHG Protocol Product Standard, specifically employing a cradle-to-grave approach (inclusive of raw material acquisition, production, transport, use, and end-of-life). The following steps detail the process:</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lypgijrxdm. This defines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Factory-gate (for production) expanded to a cradle-to-grave perspective, including upstream (raw material extraction, pre-processing, inbound transport), core (manufacturing, outbound transport), use phase, and downstream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(for inbound materials and outbound distribution).</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Mass-based allocation is applied where co-products or by-products are identified, to distribute environmental burdens proportionally. For recycling, the "recycled content method" is used, allocating emissions from the recycling process to the user of the recycled material, while avoided emissions from primary material displacement are credited to the end-of-life stage of the disposed product.</w:t>
      </w:r>
    </w:p>
    <w:bookmarkEnd w:id="22"/>
    <w:bookmarkStart w:id="23" w:name="Xf6590ae06e9eff1c8ceb678e24ded0b628f7713"/>
    <w:p>
      <w:pPr>
        <w:pStyle w:val="Heading3"/>
      </w:pPr>
      <w:r>
        <w:t xml:space="preserve">2. Map Lifecycle (Life Cycle Inventory Stages)</w:t>
      </w:r>
    </w:p>
    <w:p>
      <w:pPr>
        <w:pStyle w:val="FirstParagraph"/>
      </w:pPr>
      <w:r>
        <w:t xml:space="preserve">The lifecycle of lypgijrxdm is mapped across the following stages:</w:t>
      </w:r>
    </w:p>
    <w:p>
      <w:pPr>
        <w:numPr>
          <w:ilvl w:val="0"/>
          <w:numId w:val="1002"/>
        </w:numPr>
        <w:pStyle w:val="Compact"/>
      </w:pPr>
      <w:r>
        <w:rPr>
          <w:bCs/>
          <w:b/>
        </w:rPr>
        <w:t xml:space="preserve">Raw Material Acquisition &amp; Pre-processing:</w:t>
      </w:r>
      <w:r>
        <w:t xml:space="preserve"> </w:t>
      </w:r>
      <w:r>
        <w:t xml:space="preserve">Extraction, processing, and refining of all raw materials detailed in the Bill of Materials (BOM), including manufacturing of intermediate products.</w:t>
      </w:r>
    </w:p>
    <w:p>
      <w:pPr>
        <w:numPr>
          <w:ilvl w:val="0"/>
          <w:numId w:val="1002"/>
        </w:numPr>
        <w:pStyle w:val="Compact"/>
      </w:pPr>
      <w:r>
        <w:rPr>
          <w:bCs/>
          <w:b/>
        </w:rPr>
        <w:t xml:space="preserve">Production (Manufacturing):</w:t>
      </w:r>
      <w:r>
        <w:t xml:space="preserve"> </w:t>
      </w:r>
      <w:r>
        <w:t xml:space="preserve">Energy consumption and direct emissions from the factory operations in China.</w:t>
      </w:r>
    </w:p>
    <w:p>
      <w:pPr>
        <w:numPr>
          <w:ilvl w:val="0"/>
          <w:numId w:val="1002"/>
        </w:numPr>
        <w:pStyle w:val="Compact"/>
      </w:pPr>
      <w:r>
        <w:rPr>
          <w:bCs/>
          <w:b/>
        </w:rPr>
        <w:t xml:space="preserve">Transport:</w:t>
      </w:r>
    </w:p>
    <w:p>
      <w:pPr>
        <w:numPr>
          <w:ilvl w:val="1"/>
          <w:numId w:val="1003"/>
        </w:numPr>
        <w:pStyle w:val="Compact"/>
      </w:pPr>
      <w:r>
        <w:rPr>
          <w:bCs/>
          <w:b/>
        </w:rPr>
        <w:t xml:space="preserve">Upstream (Inbound Logistics):</w:t>
      </w:r>
      <w:r>
        <w:t xml:space="preserve"> </w:t>
      </w:r>
      <w:r>
        <w:t xml:space="preserve">Transportation of raw materials from European suppliers to the manufacturing facility in China.</w:t>
      </w:r>
    </w:p>
    <w:p>
      <w:pPr>
        <w:numPr>
          <w:ilvl w:val="1"/>
          <w:numId w:val="1003"/>
        </w:numPr>
        <w:pStyle w:val="Compact"/>
      </w:pPr>
      <w:r>
        <w:rPr>
          <w:bCs/>
          <w:b/>
        </w:rPr>
        <w:t xml:space="preserve">Downstream (Distribution):</w:t>
      </w:r>
      <w:r>
        <w:t xml:space="preserve"> </w:t>
      </w:r>
      <w:r>
        <w:t xml:space="preserve">Transportation of the finished product from the factory in China to distribution centers and subsequently to the customer in Europe.</w:t>
      </w:r>
    </w:p>
    <w:p>
      <w:pPr>
        <w:numPr>
          <w:ilvl w:val="1"/>
          <w:numId w:val="1003"/>
        </w:numPr>
        <w:pStyle w:val="Compact"/>
      </w:pPr>
      <w:r>
        <w:rPr>
          <w:bCs/>
          <w:b/>
        </w:rPr>
        <w:t xml:space="preserve">Last-Mile Delivery:</w:t>
      </w:r>
      <w:r>
        <w:t xml:space="preserve"> </w:t>
      </w:r>
      <w:r>
        <w:t xml:space="preserve">Final delivery to the end-user.</w:t>
      </w:r>
    </w:p>
    <w:p>
      <w:pPr>
        <w:numPr>
          <w:ilvl w:val="0"/>
          <w:numId w:val="1002"/>
        </w:numPr>
        <w:pStyle w:val="Compact"/>
      </w:pPr>
      <w:r>
        <w:rPr>
          <w:bCs/>
          <w:b/>
        </w:rPr>
        <w:t xml:space="preserve">Use Phase:</w:t>
      </w:r>
      <w:r>
        <w:t xml:space="preserve"> </w:t>
      </w:r>
      <w:r>
        <w:t xml:space="preserve">Energy consumption by the product during its lifespan, based on estimated usage patterns.</w:t>
      </w:r>
    </w:p>
    <w:p>
      <w:pPr>
        <w:numPr>
          <w:ilvl w:val="0"/>
          <w:numId w:val="1002"/>
        </w:numPr>
        <w:pStyle w:val="Compact"/>
      </w:pPr>
      <w:r>
        <w:rPr>
          <w:bCs/>
          <w:b/>
        </w:rPr>
        <w:t xml:space="preserve">End-of-Life (EoL):</w:t>
      </w:r>
      <w:r>
        <w:t xml:space="preserve"> </w:t>
      </w:r>
      <w:r>
        <w:t xml:space="preserve">Collection, sorting, recycling, and disposal (landfilling/incineration) of the product components at the end of their functional life.</w:t>
      </w:r>
    </w:p>
    <w:bookmarkEnd w:id="23"/>
    <w:bookmarkStart w:id="24" w:name="X72e02ed4a6dffa8ba69db8bad901738eaa4772e"/>
    <w:p>
      <w:pPr>
        <w:pStyle w:val="Heading3"/>
      </w:pPr>
      <w:r>
        <w:t xml:space="preserve">Detailed Breakdown of Materials and Energy Inputs (Illustrative BOM for jkqhnxdy)</w:t>
      </w:r>
    </w:p>
    <w:p>
      <w:pPr>
        <w:pStyle w:val="FirstParagraph"/>
      </w:pPr>
      <w:r>
        <w:t xml:space="preserve">Based on the provided Detailed Bill of Materials (BOM), the following material inputs were considered, with their associated pre-calculated carbon impacts. These specific values are used for high-accuracy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2.0</w:t>
            </w:r>
          </w:p>
        </w:tc>
        <w:tc>
          <w:tcPr/>
          <w:p>
            <w:pPr>
              <w:pStyle w:val="Compact"/>
              <w:jc w:val="left"/>
            </w:pPr>
            <w:r>
              <w:t xml:space="preserve">2.2</w:t>
            </w:r>
          </w:p>
        </w:tc>
        <w:tc>
          <w:tcPr/>
          <w:p>
            <w:pPr>
              <w:pStyle w:val="Compact"/>
              <w:jc w:val="left"/>
            </w:pPr>
            <w:r>
              <w:t xml:space="preserve">4.4</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20.0</w:t>
            </w:r>
          </w:p>
        </w:tc>
        <w:tc>
          <w:tcPr/>
          <w:p>
            <w:pPr>
              <w:pStyle w:val="Compact"/>
              <w:jc w:val="left"/>
            </w:pPr>
            <w:r>
              <w:t xml:space="preserve">4.0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6</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Conversion</w:t>
            </w:r>
          </w:p>
        </w:tc>
        <w:tc>
          <w:tcPr/>
          <w:p>
            <w:pPr>
              <w:pStyle w:val="Compact"/>
              <w:jc w:val="left"/>
            </w:pPr>
            <w:r>
              <w:t xml:space="preserve">0.3</w:t>
            </w:r>
          </w:p>
        </w:tc>
        <w:tc>
          <w:tcPr/>
          <w:p>
            <w:pPr>
              <w:pStyle w:val="Compact"/>
              <w:jc w:val="left"/>
            </w:pPr>
            <w:r>
              <w:t xml:space="preserve">1.5</w:t>
            </w:r>
          </w:p>
        </w:tc>
        <w:tc>
          <w:tcPr/>
          <w:p>
            <w:pPr>
              <w:pStyle w:val="Compact"/>
              <w:jc w:val="left"/>
            </w:pPr>
            <w:r>
              <w:t xml:space="preserve">0.45</w:t>
            </w:r>
          </w:p>
        </w:tc>
      </w:tr>
      <w:tr>
        <w:tc>
          <w:tcPr>
            <w:gridSpan w:val="4"/>
          </w:tcPr>
          <w:p>
            <w:pPr>
              <w:pStyle w:val="Compact"/>
              <w:jc w:val="left"/>
            </w:pPr>
            <w:r>
              <w:rPr>
                <w:bCs/>
                <w:b/>
              </w:rPr>
              <w:t xml:space="preserve">Total Product Weight</w:t>
            </w:r>
          </w:p>
        </w:tc>
        <w:tc>
          <w:tcPr/>
          <w:p>
            <w:pPr>
              <w:pStyle w:val="Compact"/>
              <w:jc w:val="left"/>
            </w:pPr>
            <w:r>
              <w:rPr>
                <w:bCs/>
                <w:b/>
              </w:rPr>
              <w:t xml:space="preserve">4.6 kg</w:t>
            </w:r>
          </w:p>
        </w:tc>
        <w:tc>
          <w:tcPr/>
          <w:p>
            <w:pPr>
              <w:pStyle w:val="Compact"/>
            </w:pPr>
          </w:p>
        </w:tc>
        <w:tc>
          <w:tcPr/>
          <w:p>
            <w:pPr>
              <w:pStyle w:val="Compact"/>
            </w:pPr>
          </w:p>
        </w:tc>
      </w:tr>
      <w:tr>
        <w:tc>
          <w:tcPr>
            <w:gridSpan w:val="6"/>
          </w:tcPr>
          <w:p>
            <w:pPr>
              <w:pStyle w:val="Compact"/>
              <w:jc w:val="left"/>
            </w:pPr>
            <w:r>
              <w:rPr>
                <w:bCs/>
                <w:b/>
              </w:rPr>
              <w:t xml:space="preserve">Total Material Carbon (from BOM)</w:t>
            </w:r>
          </w:p>
        </w:tc>
        <w:tc>
          <w:tcPr/>
          <w:p>
            <w:pPr>
              <w:pStyle w:val="Compact"/>
              <w:jc w:val="left"/>
            </w:pPr>
            <w:r>
              <w:rPr>
                <w:bCs/>
                <w:b/>
              </w:rPr>
              <w:t xml:space="preserve">18.85 kgCO2e</w:t>
            </w:r>
          </w:p>
        </w:tc>
      </w:tr>
    </w:tbl>
    <w:p>
      <w:pPr>
        <w:pStyle w:val="BodyText"/>
      </w:pPr>
      <w:r>
        <w:t xml:space="preserve">Energy inputs are quantified per functional unit for the production phase (electricity) and use phase (electricity).</w:t>
      </w:r>
    </w:p>
    <w:bookmarkEnd w:id="24"/>
    <w:bookmarkStart w:id="25" w:name="Xb57f50a89bf1f3f1837369be949d9d60d6c1272"/>
    <w:p>
      <w:pPr>
        <w:pStyle w:val="Heading3"/>
      </w:pPr>
      <w:r>
        <w:t xml:space="preserve">3. Collect Data (Primary/Secondary Data Points)</w:t>
      </w:r>
    </w:p>
    <w:p>
      <w:pPr>
        <w:pStyle w:val="FirstParagraph"/>
      </w:pPr>
      <w:r>
        <w:t xml:space="preserve">Primary data for material impacts was directly derived from the "Total Carbon" values provided in the Detailed Bill of Materials (jkqhnxdy). Where specific emission factors were not provided in the BOM for processes or energy, industry-standard secondary emission factors were utilized from reputable databases (e.g., Ecoinvent, DEFRA, Climatiq, IEA, EPA WARM) to ensure comprehensive coverage. The following specific parameters were incorporated:</w:t>
      </w:r>
    </w:p>
    <w:p>
      <w:pPr>
        <w:numPr>
          <w:ilvl w:val="0"/>
          <w:numId w:val="1004"/>
        </w:numPr>
        <w:pStyle w:val="Compact"/>
      </w:pPr>
      <w:r>
        <w:rPr>
          <w:bCs/>
          <w:b/>
        </w:rPr>
        <w:t xml:space="preserve">Material Carbon Impact:</w:t>
      </w:r>
      <w:r>
        <w:t xml:space="preserve"> </w:t>
      </w:r>
      <w:r>
        <w:t xml:space="preserve">Summation of "Total Carbon" from the provided BOM.</w:t>
      </w:r>
    </w:p>
    <w:p>
      <w:pPr>
        <w:numPr>
          <w:ilvl w:val="0"/>
          <w:numId w:val="1004"/>
        </w:numPr>
        <w:pStyle w:val="Compact"/>
      </w:pPr>
      <w:r>
        <w:rPr>
          <w:bCs/>
          <w:b/>
        </w:rPr>
        <w:t xml:space="preserve">Transport Mode:</w:t>
      </w:r>
      <w:r>
        <w:t xml:space="preserve"> </w:t>
      </w:r>
      <w:r>
        <w:t xml:space="preserve">"Select Mode" (assumed Road Freight - HGV 34t+ for long haul, Light Commercial Vehicle for last-mile).</w:t>
      </w:r>
    </w:p>
    <w:p>
      <w:pPr>
        <w:numPr>
          <w:ilvl w:val="0"/>
          <w:numId w:val="1004"/>
        </w:numPr>
        <w:pStyle w:val="Compact"/>
      </w:pPr>
      <w:r>
        <w:rPr>
          <w:bCs/>
          <w:b/>
        </w:rPr>
        <w:t xml:space="preserve">Transport Distance:</w:t>
      </w:r>
      <w:r>
        <w:t xml:space="preserve"> </w:t>
      </w:r>
      <w:r>
        <w:t xml:space="preserve">"ozrtwjmgpw" (assumed 1500 km inbound from Europe to China, 500 km outbound from China to Europe, and 100 km for last-mile delivery within Europe, totalling 2100 km per unit).</w:t>
      </w:r>
    </w:p>
    <w:p>
      <w:pPr>
        <w:numPr>
          <w:ilvl w:val="0"/>
          <w:numId w:val="1004"/>
        </w:numPr>
        <w:pStyle w:val="Compact"/>
      </w:pPr>
      <w:r>
        <w:rPr>
          <w:bCs/>
          <w:b/>
        </w:rPr>
        <w:t xml:space="preserve">Last-Mile Delivery Channel:</w:t>
      </w:r>
      <w:r>
        <w:t xml:space="preserve"> </w:t>
      </w:r>
      <w:r>
        <w:t xml:space="preserve">"Delivery Type" (assumed Light Commercial Vehicle).</w:t>
      </w:r>
    </w:p>
    <w:p>
      <w:pPr>
        <w:numPr>
          <w:ilvl w:val="0"/>
          <w:numId w:val="1004"/>
        </w:numPr>
        <w:pStyle w:val="Compact"/>
      </w:pPr>
      <w:r>
        <w:rPr>
          <w:bCs/>
          <w:b/>
        </w:rPr>
        <w:t xml:space="preserve">Renewable Energy Usage:</w:t>
      </w:r>
      <w:r>
        <w:t xml:space="preserve"> </w:t>
      </w:r>
      <w:r>
        <w:t xml:space="preserve">"ruyexmtvuq" (assumed 40% renewable energy for production).</w:t>
      </w:r>
    </w:p>
    <w:p>
      <w:pPr>
        <w:numPr>
          <w:ilvl w:val="0"/>
          <w:numId w:val="1004"/>
        </w:numPr>
        <w:pStyle w:val="Compact"/>
      </w:pPr>
      <w:r>
        <w:rPr>
          <w:bCs/>
          <w:b/>
        </w:rPr>
        <w:t xml:space="preserve">Energy Intensity (kWh/unit):</w:t>
      </w:r>
      <w:r>
        <w:t xml:space="preserve"> </w:t>
      </w:r>
      <w:r>
        <w:t xml:space="preserve">"pziduogqjq" (assumed 15 kWh/unit for production).</w:t>
      </w:r>
    </w:p>
    <w:p>
      <w:pPr>
        <w:numPr>
          <w:ilvl w:val="0"/>
          <w:numId w:val="1004"/>
        </w:numPr>
        <w:pStyle w:val="Compact"/>
      </w:pPr>
      <w:r>
        <w:rPr>
          <w:bCs/>
          <w:b/>
        </w:rPr>
        <w:t xml:space="preserve">Product Lifespan:</w:t>
      </w:r>
      <w:r>
        <w:t xml:space="preserve"> </w:t>
      </w:r>
      <w:r>
        <w:t xml:space="preserve">"eiujhinomo" (assumed 3 years).</w:t>
      </w:r>
    </w:p>
    <w:p>
      <w:pPr>
        <w:numPr>
          <w:ilvl w:val="0"/>
          <w:numId w:val="1004"/>
        </w:numPr>
        <w:pStyle w:val="Compact"/>
      </w:pPr>
      <w:r>
        <w:rPr>
          <w:bCs/>
          <w:b/>
        </w:rPr>
        <w:t xml:space="preserve">Energy Consumption in Use:</w:t>
      </w:r>
      <w:r>
        <w:t xml:space="preserve"> </w:t>
      </w:r>
      <w:r>
        <w:t xml:space="preserve">"gfjrhqvzjy" (assumed 50 kWh over product lifespan).</w:t>
      </w:r>
    </w:p>
    <w:p>
      <w:pPr>
        <w:numPr>
          <w:ilvl w:val="0"/>
          <w:numId w:val="1004"/>
        </w:numPr>
        <w:pStyle w:val="Compact"/>
      </w:pPr>
      <w:r>
        <w:rPr>
          <w:bCs/>
          <w:b/>
        </w:rPr>
        <w:t xml:space="preserve">Recyclability Percentage:</w:t>
      </w:r>
      <w:r>
        <w:t xml:space="preserve"> </w:t>
      </w:r>
      <w:r>
        <w:t xml:space="preserve">"zkllwehvkw" (assumed 60%).</w:t>
      </w:r>
    </w:p>
    <w:p>
      <w:pPr>
        <w:numPr>
          <w:ilvl w:val="0"/>
          <w:numId w:val="1004"/>
        </w:numPr>
        <w:pStyle w:val="Compact"/>
      </w:pPr>
      <w:r>
        <w:rPr>
          <w:bCs/>
          <w:b/>
        </w:rPr>
        <w:t xml:space="preserve">Circular/Take-back Programs:</w:t>
      </w:r>
      <w:r>
        <w:t xml:space="preserve"> </w:t>
      </w:r>
      <w:r>
        <w:t xml:space="preserve">"flquzigeue" (acknowledged as existing, assumed 10% return rate for refurbishment, though specific avoided emissions from refurbishment are not quantified in this report for simplicity).</w:t>
      </w:r>
    </w:p>
    <w:p>
      <w:pPr>
        <w:pStyle w:val="FirstParagraph"/>
      </w:pPr>
      <w:r>
        <w:rPr>
          <w:bCs/>
          <w:b/>
        </w:rPr>
        <w:t xml:space="preserve">Key Emission Factors Used (Illustrative Calculations):</w:t>
      </w:r>
    </w:p>
    <w:p>
      <w:pPr>
        <w:numPr>
          <w:ilvl w:val="0"/>
          <w:numId w:val="1005"/>
        </w:numPr>
        <w:pStyle w:val="Compact"/>
      </w:pPr>
      <w:r>
        <w:t xml:space="preserve">China Grid Electricity Emission Factor: 0.6205 kg CO2e/kWh (2023 national average).</w:t>
      </w:r>
    </w:p>
    <w:p>
      <w:pPr>
        <w:numPr>
          <w:ilvl w:val="0"/>
          <w:numId w:val="1005"/>
        </w:numPr>
        <w:pStyle w:val="Compact"/>
      </w:pPr>
      <w:r>
        <w:t xml:space="preserve">Europe Grid Electricity Emission Factor (average): 0.274 kg CO2e/kWh (EU-27 average).</w:t>
      </w:r>
    </w:p>
    <w:p>
      <w:pPr>
        <w:numPr>
          <w:ilvl w:val="0"/>
          <w:numId w:val="1005"/>
        </w:numPr>
        <w:pStyle w:val="Compact"/>
      </w:pPr>
      <w:r>
        <w:t xml:space="preserve">Road Freight (HGV &gt;20t) Emission Factor (Europe/China assumed similar for tkm): 0.092 kgCO2e/tonne-km (Well-to-Wheel).</w:t>
      </w:r>
    </w:p>
    <w:p>
      <w:pPr>
        <w:numPr>
          <w:ilvl w:val="0"/>
          <w:numId w:val="1005"/>
        </w:numPr>
        <w:pStyle w:val="Compact"/>
      </w:pPr>
      <w:r>
        <w:t xml:space="preserve">Avoided Emission Factor - Recycled Steel: -1.5 kgCO2e/kg.</w:t>
      </w:r>
    </w:p>
    <w:p>
      <w:pPr>
        <w:numPr>
          <w:ilvl w:val="0"/>
          <w:numId w:val="1005"/>
        </w:numPr>
        <w:pStyle w:val="Compact"/>
      </w:pPr>
      <w:r>
        <w:t xml:space="preserve">Avoided Emission Factor - Recycled Aluminum: -9.0 kgCO2e/kg.</w:t>
      </w:r>
    </w:p>
    <w:p>
      <w:pPr>
        <w:numPr>
          <w:ilvl w:val="0"/>
          <w:numId w:val="1005"/>
        </w:numPr>
        <w:pStyle w:val="Compact"/>
      </w:pPr>
      <w:r>
        <w:t xml:space="preserve">Avoided Emission Factor - Recycled Mixed Plastics: -1.2 kgCO2e/kg.</w:t>
      </w:r>
    </w:p>
    <w:p>
      <w:pPr>
        <w:numPr>
          <w:ilvl w:val="0"/>
          <w:numId w:val="1005"/>
        </w:numPr>
        <w:pStyle w:val="Compact"/>
      </w:pPr>
      <w:r>
        <w:t xml:space="preserve">Landfill Emission Factor - Mixed Plastics: 0.033 kg CO2e/kg.</w:t>
      </w:r>
    </w:p>
    <w:bookmarkEnd w:id="25"/>
    <w:bookmarkStart w:id="35" w:name="Xb404f6bea4a0013006ec7a9103609d9ea6643c1"/>
    <w:p>
      <w:pPr>
        <w:pStyle w:val="Heading3"/>
      </w:pPr>
      <w:r>
        <w:t xml:space="preserve">4. Calculate Emissions (Activity * Emission Factor = CO2e)</w:t>
      </w:r>
    </w:p>
    <w:p>
      <w:pPr>
        <w:pStyle w:val="FirstParagraph"/>
      </w:pPr>
      <w:r>
        <w:t xml:space="preserve">Emissions were calculated for each lifecycle stage using the collected activity data and corresponding emission factors. The results are categorized according to the GHG Protocol as follows:</w:t>
      </w:r>
    </w:p>
    <w:bookmarkStart w:id="26" w:name="Xa5e05c0e793b2e3b8927cb1b228e81f97f2094b"/>
    <w:p>
      <w:pPr>
        <w:pStyle w:val="Heading4"/>
      </w:pPr>
      <w:r>
        <w:t xml:space="preserve">Scope 1 Emissions (Direct Emissions from Owned or Controlled Sources)</w:t>
      </w:r>
    </w:p>
    <w:p>
      <w:pPr>
        <w:pStyle w:val="FirstParagraph"/>
      </w:pPr>
      <w:r>
        <w:t xml:space="preserve">No direct on-site combustion emissions (e.g., from owned boilers or vehicles) were specified or quantified with the provided parameters. Therefore, Scope 1 emissions are assumed to be 0 kgCO2e for this product PCF. If uzsiwzurkg has direct process emissions or on-site fuel consumption not related to purchased electricity, these would be included here.</w:t>
      </w:r>
    </w:p>
    <w:p>
      <w:pPr>
        <w:pStyle w:val="BodyText"/>
      </w:pPr>
      <w:r>
        <w:rPr>
          <w:bCs/>
          <w:b/>
        </w:rPr>
        <w:t xml:space="preserve">Total Scope 1 Emissions: 0.00 kgCO2e</w:t>
      </w:r>
    </w:p>
    <w:bookmarkEnd w:id="26"/>
    <w:bookmarkStart w:id="27" w:name="X1bd5ed5ba51603fe7fc5fd46de6dc3081dfffbb"/>
    <w:p>
      <w:pPr>
        <w:pStyle w:val="Heading4"/>
      </w:pPr>
      <w:r>
        <w:t xml:space="preserve">Scope 2 Emissions (Indirect Emissions from Purchased Energy)</w:t>
      </w:r>
    </w:p>
    <w:p>
      <w:pPr>
        <w:pStyle w:val="FirstParagraph"/>
      </w:pPr>
      <w:r>
        <w:t xml:space="preserve">This category covers emissions from the generation of purchased electricity consumed during the product\'s manufacturing phase in China.</w:t>
      </w:r>
    </w:p>
    <w:p>
      <w:pPr>
        <w:numPr>
          <w:ilvl w:val="0"/>
          <w:numId w:val="1006"/>
        </w:numPr>
        <w:pStyle w:val="Compact"/>
      </w:pPr>
      <w:r>
        <w:t xml:space="preserve">Energy Intensity: 15 kWh/unit (pziduogqjq)</w:t>
      </w:r>
    </w:p>
    <w:p>
      <w:pPr>
        <w:numPr>
          <w:ilvl w:val="0"/>
          <w:numId w:val="1006"/>
        </w:numPr>
        <w:pStyle w:val="Compact"/>
      </w:pPr>
      <w:r>
        <w:t xml:space="preserve">Renewable Energy Usage: 40% (ruyexmtvuq)</w:t>
      </w:r>
    </w:p>
    <w:p>
      <w:pPr>
        <w:numPr>
          <w:ilvl w:val="0"/>
          <w:numId w:val="1006"/>
        </w:numPr>
        <w:pStyle w:val="Compact"/>
      </w:pPr>
      <w:r>
        <w:t xml:space="preserve">Non-renewable electricity consumption: 15 kWh/unit * (1 - 0.40) = 9 kWh/unit</w:t>
      </w:r>
    </w:p>
    <w:p>
      <w:pPr>
        <w:numPr>
          <w:ilvl w:val="0"/>
          <w:numId w:val="1006"/>
        </w:numPr>
        <w:pStyle w:val="Compact"/>
      </w:pPr>
      <w:r>
        <w:t xml:space="preserve">China Grid Electricity Emission Factor: 0.6205 kg CO2e/kWh</w:t>
      </w:r>
    </w:p>
    <w:p>
      <w:pPr>
        <w:numPr>
          <w:ilvl w:val="0"/>
          <w:numId w:val="1006"/>
        </w:numPr>
        <w:pStyle w:val="Compact"/>
      </w:pPr>
      <w:r>
        <w:rPr>
          <w:bCs/>
          <w:b/>
        </w:rPr>
        <w:t xml:space="preserve">Calculation:</w:t>
      </w:r>
      <w:r>
        <w:t xml:space="preserve"> </w:t>
      </w:r>
      <w:r>
        <w:t xml:space="preserve">9 kWh/unit * 0.6205 kg CO2e/kWh = 5.58 kgCO2e</w:t>
      </w:r>
    </w:p>
    <w:p>
      <w:pPr>
        <w:pStyle w:val="FirstParagraph"/>
      </w:pPr>
      <w:r>
        <w:rPr>
          <w:bCs/>
          <w:b/>
        </w:rPr>
        <w:t xml:space="preserve">Total Scope 2 Emissions: 5.58 kgCO2e</w:t>
      </w:r>
    </w:p>
    <w:bookmarkEnd w:id="27"/>
    <w:bookmarkStart w:id="32" w:name="Xfba9a0cf1430a71c12d1f705b4bd26e86bf0ddd"/>
    <w:p>
      <w:pPr>
        <w:pStyle w:val="Heading4"/>
      </w:pPr>
      <w:r>
        <w:t xml:space="preserve">Scope 3 Emissions (All Other Indirect Emissions in the Value Chain)</w:t>
      </w:r>
    </w:p>
    <w:p>
      <w:pPr>
        <w:pStyle w:val="FirstParagraph"/>
      </w:pPr>
      <w:r>
        <w:t xml:space="preserve">Scope 3 emissions represent the most substantial portion of the product\'s footprint and are critical for achieving the 2026 requirement of at least 95% coverage for Scope 3 reporting. The following categories are quantified:</w:t>
      </w:r>
    </w:p>
    <w:bookmarkStart w:id="28" w:name="Xab9729a0caae076ca89f2f71668734f92723cf2"/>
    <w:p>
      <w:pPr>
        <w:pStyle w:val="Heading5"/>
      </w:pPr>
      <w:r>
        <w:t xml:space="preserve">Category 1: Purchased Goods and Services (Materials)</w:t>
      </w:r>
    </w:p>
    <w:p>
      <w:pPr>
        <w:pStyle w:val="FirstParagraph"/>
      </w:pPr>
      <w:r>
        <w:t xml:space="preserve">This includes emissions from the extraction, production, and pre-processing of all raw materials used in lypgijrxdm, as specified in the Bill of Materials (jkqhnxdy).</w:t>
      </w:r>
    </w:p>
    <w:p>
      <w:pPr>
        <w:numPr>
          <w:ilvl w:val="0"/>
          <w:numId w:val="1007"/>
        </w:numPr>
        <w:pStyle w:val="Compact"/>
      </w:pPr>
      <w:r>
        <w:t xml:space="preserve">Total Product Weight (from BOM): 4.6 kg</w:t>
      </w:r>
    </w:p>
    <w:p>
      <w:pPr>
        <w:numPr>
          <w:ilvl w:val="0"/>
          <w:numId w:val="1007"/>
        </w:numPr>
        <w:pStyle w:val="Compact"/>
      </w:pPr>
      <w:r>
        <w:rPr>
          <w:bCs/>
          <w:b/>
        </w:rPr>
        <w:t xml:space="preserve">Calculation:</w:t>
      </w:r>
      <w:r>
        <w:t xml:space="preserve"> </w:t>
      </w:r>
      <w:r>
        <w:t xml:space="preserve">Sum of "Total Carbon" from illustrative BOM = 18.85 kgCO2e</w:t>
      </w:r>
    </w:p>
    <w:p>
      <w:pPr>
        <w:pStyle w:val="FirstParagraph"/>
      </w:pPr>
      <w:r>
        <w:rPr>
          <w:bCs/>
          <w:b/>
        </w:rPr>
        <w:t xml:space="preserve">Emissions from Materials: 18.85 kgCO2e</w:t>
      </w:r>
    </w:p>
    <w:bookmarkEnd w:id="28"/>
    <w:bookmarkStart w:id="29" w:name="X6669a43143349c25ec93e775eebde43de53a73c"/>
    <w:p>
      <w:pPr>
        <w:pStyle w:val="Heading5"/>
      </w:pPr>
      <w:r>
        <w:t xml:space="preserve">Category 4: Upstream Transportation and Distribution</w:t>
      </w:r>
    </w:p>
    <w:p>
      <w:pPr>
        <w:pStyle w:val="FirstParagraph"/>
      </w:pPr>
      <w:r>
        <w:t xml:space="preserve">This covers the transportation of raw materials to the factory and the finished product to the end-user.</w:t>
      </w:r>
    </w:p>
    <w:p>
      <w:pPr>
        <w:numPr>
          <w:ilvl w:val="0"/>
          <w:numId w:val="1008"/>
        </w:numPr>
        <w:pStyle w:val="Compact"/>
      </w:pPr>
      <w:r>
        <w:t xml:space="preserve">Total Product Weight: 4.6 kg = 0.0046 tonnes</w:t>
      </w:r>
    </w:p>
    <w:p>
      <w:pPr>
        <w:numPr>
          <w:ilvl w:val="0"/>
          <w:numId w:val="1008"/>
        </w:numPr>
        <w:pStyle w:val="Compact"/>
      </w:pPr>
      <w:r>
        <w:t xml:space="preserve">Road Freight Emission Factor: 0.092 kgCO2e/tonne-km</w:t>
      </w:r>
    </w:p>
    <w:p>
      <w:pPr>
        <w:numPr>
          <w:ilvl w:val="0"/>
          <w:numId w:val="1008"/>
        </w:numPr>
        <w:pStyle w:val="Compact"/>
      </w:pPr>
      <w:r>
        <w:rPr>
          <w:bCs/>
          <w:b/>
        </w:rPr>
        <w:t xml:space="preserve">Inbound Transport (Europe to China):</w:t>
      </w:r>
      <w:r>
        <w:t xml:space="preserve"> </w:t>
      </w:r>
      <w:r>
        <w:t xml:space="preserve">0.0046 t * 1500 km * 0.092 kgCO2e/tkm = 0.63 kgCO2e</w:t>
      </w:r>
    </w:p>
    <w:p>
      <w:pPr>
        <w:numPr>
          <w:ilvl w:val="0"/>
          <w:numId w:val="1008"/>
        </w:numPr>
        <w:pStyle w:val="Compact"/>
      </w:pPr>
      <w:r>
        <w:rPr>
          <w:bCs/>
          <w:b/>
        </w:rPr>
        <w:t xml:space="preserve">Outbound Transport (China to Europe):</w:t>
      </w:r>
      <w:r>
        <w:t xml:space="preserve"> </w:t>
      </w:r>
      <w:r>
        <w:t xml:space="preserve">0.0046 t * 500 km * 0.092 kgCO2e/tkm = 0.21 kgCO2e</w:t>
      </w:r>
    </w:p>
    <w:p>
      <w:pPr>
        <w:numPr>
          <w:ilvl w:val="0"/>
          <w:numId w:val="1008"/>
        </w:numPr>
        <w:pStyle w:val="Compact"/>
      </w:pPr>
      <w:r>
        <w:rPr>
          <w:bCs/>
          <w:b/>
        </w:rPr>
        <w:t xml:space="preserve">Last-Mile Delivery (Europe):</w:t>
      </w:r>
      <w:r>
        <w:t xml:space="preserve"> </w:t>
      </w:r>
      <w:r>
        <w:t xml:space="preserve">0.0046 t * 100 km * 0.092 kgCO2e/tkm = 0.04 kgCO2e</w:t>
      </w:r>
    </w:p>
    <w:p>
      <w:pPr>
        <w:numPr>
          <w:ilvl w:val="0"/>
          <w:numId w:val="1008"/>
        </w:numPr>
        <w:pStyle w:val="Compact"/>
      </w:pPr>
      <w:r>
        <w:rPr>
          <w:bCs/>
          <w:b/>
        </w:rPr>
        <w:t xml:space="preserve">Total Transport:</w:t>
      </w:r>
      <w:r>
        <w:t xml:space="preserve"> </w:t>
      </w:r>
      <w:r>
        <w:t xml:space="preserve">0.63 + 0.21 + 0.04 = 0.88 kgCO2e</w:t>
      </w:r>
    </w:p>
    <w:p>
      <w:pPr>
        <w:pStyle w:val="FirstParagraph"/>
      </w:pPr>
      <w:r>
        <w:rPr>
          <w:bCs/>
          <w:b/>
        </w:rPr>
        <w:t xml:space="preserve">Emissions from Upstream Transportation and Distribution: 0.88 kgCO2e</w:t>
      </w:r>
    </w:p>
    <w:bookmarkEnd w:id="29"/>
    <w:bookmarkStart w:id="30" w:name="category-11-use-of-sold-products"/>
    <w:p>
      <w:pPr>
        <w:pStyle w:val="Heading5"/>
      </w:pPr>
      <w:r>
        <w:t xml:space="preserve">Category 11: Use of Sold Products</w:t>
      </w:r>
    </w:p>
    <w:p>
      <w:pPr>
        <w:pStyle w:val="FirstParagraph"/>
      </w:pPr>
      <w:r>
        <w:t xml:space="preserve">Emissions from the energy consumption of lypgijrxdm during its lifespan.</w:t>
      </w:r>
    </w:p>
    <w:p>
      <w:pPr>
        <w:numPr>
          <w:ilvl w:val="0"/>
          <w:numId w:val="1009"/>
        </w:numPr>
        <w:pStyle w:val="Compact"/>
      </w:pPr>
      <w:r>
        <w:t xml:space="preserve">Product Lifespan: 3 years (eiujhinomo)</w:t>
      </w:r>
    </w:p>
    <w:p>
      <w:pPr>
        <w:numPr>
          <w:ilvl w:val="0"/>
          <w:numId w:val="1009"/>
        </w:numPr>
        <w:pStyle w:val="Compact"/>
      </w:pPr>
      <w:r>
        <w:t xml:space="preserve">Energy Consumption in Use: 50 kWh/lifespan (gfjrhqvzjy)</w:t>
      </w:r>
    </w:p>
    <w:p>
      <w:pPr>
        <w:numPr>
          <w:ilvl w:val="0"/>
          <w:numId w:val="1009"/>
        </w:numPr>
        <w:pStyle w:val="Compact"/>
      </w:pPr>
      <w:r>
        <w:t xml:space="preserve">Europe Grid Electricity Emission Factor: 0.274 kg CO2e/kWh</w:t>
      </w:r>
    </w:p>
    <w:p>
      <w:pPr>
        <w:numPr>
          <w:ilvl w:val="0"/>
          <w:numId w:val="1009"/>
        </w:numPr>
        <w:pStyle w:val="Compact"/>
      </w:pPr>
      <w:r>
        <w:rPr>
          <w:bCs/>
          <w:b/>
        </w:rPr>
        <w:t xml:space="preserve">Calculation:</w:t>
      </w:r>
      <w:r>
        <w:t xml:space="preserve"> </w:t>
      </w:r>
      <w:r>
        <w:t xml:space="preserve">50 kWh * 0.274 kg CO2e/kWh = 13.70 kgCO2e</w:t>
      </w:r>
    </w:p>
    <w:p>
      <w:pPr>
        <w:pStyle w:val="FirstParagraph"/>
      </w:pPr>
      <w:r>
        <w:rPr>
          <w:bCs/>
          <w:b/>
        </w:rPr>
        <w:t xml:space="preserve">Emissions from Use Phase: 13.70 kgCO2e</w:t>
      </w:r>
    </w:p>
    <w:bookmarkEnd w:id="30"/>
    <w:bookmarkStart w:id="31" w:name="X9f66eef2700632e081dfe139021cb724ffcd2c5"/>
    <w:p>
      <w:pPr>
        <w:pStyle w:val="Heading5"/>
      </w:pPr>
      <w:r>
        <w:t xml:space="preserve">Category 12: End-of-Life Treatment of Sold Products</w:t>
      </w:r>
    </w:p>
    <w:p>
      <w:pPr>
        <w:pStyle w:val="FirstParagraph"/>
      </w:pPr>
      <w:r>
        <w:t xml:space="preserve">This category includes emissions and avoided emissions from the disposal and recycling of the product at the end of its life.</w:t>
      </w:r>
    </w:p>
    <w:p>
      <w:pPr>
        <w:numPr>
          <w:ilvl w:val="0"/>
          <w:numId w:val="1010"/>
        </w:numPr>
        <w:pStyle w:val="Compact"/>
      </w:pPr>
      <w:r>
        <w:t xml:space="preserve">Total Product Weight: 4.6 kg</w:t>
      </w:r>
    </w:p>
    <w:p>
      <w:pPr>
        <w:numPr>
          <w:ilvl w:val="0"/>
          <w:numId w:val="1010"/>
        </w:numPr>
        <w:pStyle w:val="Compact"/>
      </w:pPr>
      <w:r>
        <w:t xml:space="preserve">Recyclability Percentage: 60% (zkllwehvkw)</w:t>
      </w:r>
    </w:p>
    <w:p>
      <w:pPr>
        <w:numPr>
          <w:ilvl w:val="0"/>
          <w:numId w:val="1010"/>
        </w:numPr>
        <w:pStyle w:val="Compact"/>
      </w:pPr>
      <w:r>
        <w:t xml:space="preserve">Circular Programs: Yes, 10% product return rate (flquzigeue). The impact of refurbishment programs is acknowledged as a benefit but not specifically quantified as an avoided emission credit in this simplified EoL calculation.</w:t>
      </w:r>
    </w:p>
    <w:p>
      <w:pPr>
        <w:numPr>
          <w:ilvl w:val="0"/>
          <w:numId w:val="1010"/>
        </w:numPr>
        <w:pStyle w:val="Compact"/>
      </w:pPr>
      <w:r>
        <w:t xml:space="preserve">Amount Recycled: 4.6 kg * 60% = 2.76 kg</w:t>
      </w:r>
    </w:p>
    <w:p>
      <w:pPr>
        <w:numPr>
          <w:ilvl w:val="0"/>
          <w:numId w:val="1010"/>
        </w:numPr>
        <w:pStyle w:val="Compact"/>
      </w:pPr>
      <w:r>
        <w:t xml:space="preserve">Amount Landfilled: 4.6 kg * 40% = 1.84 kg</w:t>
      </w:r>
    </w:p>
    <w:p>
      <w:pPr>
        <w:numPr>
          <w:ilvl w:val="0"/>
          <w:numId w:val="1010"/>
        </w:numPr>
        <w:pStyle w:val="Compact"/>
      </w:pPr>
      <w:r>
        <w:rPr>
          <w:bCs/>
          <w:b/>
        </w:rPr>
        <w:t xml:space="preserve">Avoided Emissions from Recycling (Illustrative breakdown based on hypothetical BOM materials):</w:t>
      </w:r>
    </w:p>
    <w:p>
      <w:pPr>
        <w:numPr>
          <w:ilvl w:val="1"/>
          <w:numId w:val="1011"/>
        </w:numPr>
        <w:pStyle w:val="Compact"/>
      </w:pPr>
      <w:r>
        <w:t xml:space="preserve">Steel (1.2 kg recycled): 1.2 kg * (-1.5 kgCO2e/kg) = -1.80 kgCO2e</w:t>
      </w:r>
    </w:p>
    <w:p>
      <w:pPr>
        <w:numPr>
          <w:ilvl w:val="1"/>
          <w:numId w:val="1011"/>
        </w:numPr>
        <w:pStyle w:val="Compact"/>
      </w:pPr>
      <w:r>
        <w:t xml:space="preserve">Aluminum (0.3 kg recycled): 0.3 kg * (-9.0 kgCO2e/kg) = -2.70 kgCO2e</w:t>
      </w:r>
    </w:p>
    <w:p>
      <w:pPr>
        <w:numPr>
          <w:ilvl w:val="1"/>
          <w:numId w:val="1011"/>
        </w:numPr>
        <w:pStyle w:val="Compact"/>
      </w:pPr>
      <w:r>
        <w:t xml:space="preserve">Plastic (0.9 kg recycled): 0.9 kg * (-1.2 kgCO2e/kg) = -1.08 kgCO2e</w:t>
      </w:r>
    </w:p>
    <w:p>
      <w:pPr>
        <w:numPr>
          <w:ilvl w:val="1"/>
          <w:numId w:val="1011"/>
        </w:numPr>
        <w:pStyle w:val="Compact"/>
      </w:pPr>
      <w:r>
        <w:t xml:space="preserve">Other materials (estimated proportional, or assume negligible avoided emissions for simplicity)</w:t>
      </w:r>
    </w:p>
    <w:p>
      <w:pPr>
        <w:numPr>
          <w:ilvl w:val="0"/>
          <w:numId w:val="1010"/>
        </w:numPr>
        <w:pStyle w:val="Compact"/>
      </w:pPr>
      <w:r>
        <w:t xml:space="preserve">Total Avoided Emissions from Recycling: -1.80 + (-2.70) + (-1.08) = -5.58 kgCO2e</w:t>
      </w:r>
    </w:p>
    <w:p>
      <w:pPr>
        <w:numPr>
          <w:ilvl w:val="0"/>
          <w:numId w:val="1010"/>
        </w:numPr>
        <w:pStyle w:val="Compact"/>
      </w:pPr>
      <w:r>
        <w:rPr>
          <w:bCs/>
          <w:b/>
        </w:rPr>
        <w:t xml:space="preserve">Emissions from Landfilling:</w:t>
      </w:r>
    </w:p>
    <w:p>
      <w:pPr>
        <w:numPr>
          <w:ilvl w:val="1"/>
          <w:numId w:val="1012"/>
        </w:numPr>
        <w:pStyle w:val="Compact"/>
      </w:pPr>
      <w:r>
        <w:t xml:space="preserve">Assuming landfilled portion is predominantly mixed waste/plastics.</w:t>
      </w:r>
    </w:p>
    <w:p>
      <w:pPr>
        <w:numPr>
          <w:ilvl w:val="1"/>
          <w:numId w:val="1012"/>
        </w:numPr>
        <w:pStyle w:val="Compact"/>
      </w:pPr>
      <w:r>
        <w:t xml:space="preserve">Landfill Emission Factor (Mixed Plastics): 0.033 kg CO2e/kg</w:t>
      </w:r>
    </w:p>
    <w:p>
      <w:pPr>
        <w:numPr>
          <w:ilvl w:val="1"/>
          <w:numId w:val="1012"/>
        </w:numPr>
        <w:pStyle w:val="Compact"/>
      </w:pPr>
      <w:r>
        <w:t xml:space="preserve">Calculation: 1.84 kg * 0.033 kg CO2e/kg = 0.06 kgCO2e</w:t>
      </w:r>
    </w:p>
    <w:p>
      <w:pPr>
        <w:numPr>
          <w:ilvl w:val="0"/>
          <w:numId w:val="1010"/>
        </w:numPr>
        <w:pStyle w:val="Compact"/>
      </w:pPr>
      <w:r>
        <w:rPr>
          <w:bCs/>
          <w:b/>
        </w:rPr>
        <w:t xml:space="preserve">Net EoL Emissions:</w:t>
      </w:r>
      <w:r>
        <w:t xml:space="preserve"> </w:t>
      </w:r>
      <w:r>
        <w:t xml:space="preserve">0.06 kgCO2e - 5.58 kgCO2e = -5.52 kgCO2e</w:t>
      </w:r>
    </w:p>
    <w:p>
      <w:pPr>
        <w:pStyle w:val="FirstParagraph"/>
      </w:pPr>
      <w:r>
        <w:rPr>
          <w:bCs/>
          <w:b/>
        </w:rPr>
        <w:t xml:space="preserve">Net Emissions from End-of-Life Treatment: -5.52 kgCO2e (Net Carbon Saving)</w:t>
      </w:r>
    </w:p>
    <w:p>
      <w:pPr>
        <w:pStyle w:val="BodyText"/>
      </w:pPr>
      <w:r>
        <w:rPr>
          <w:bCs/>
          <w:b/>
        </w:rPr>
        <w:t xml:space="preserve">Total Scope 3 Emissions:</w:t>
      </w:r>
      <w:r>
        <w:t xml:space="preserve"> </w:t>
      </w:r>
      <w:r>
        <w:t xml:space="preserve">18.85 (Cat 1) + 0.88 (Cat 4) + 13.70 (Cat 11) - 5.52 (Cat 12) = 27.91 kgCO2e</w:t>
      </w:r>
    </w:p>
    <w:bookmarkEnd w:id="31"/>
    <w:bookmarkEnd w:id="32"/>
    <w:bookmarkStart w:id="33" w:name="X32467661f1b22d74c703ec57156f8d66f2dccc1"/>
    <w:p>
      <w:pPr>
        <w:pStyle w:val="Heading4"/>
      </w:pPr>
      <w:r>
        <w:t xml:space="preserve">Application of 2026 LSR Update (Land Sector and Removals)</w:t>
      </w:r>
    </w:p>
    <w:p>
      <w:pPr>
        <w:pStyle w:val="FirstParagraph"/>
      </w:pPr>
      <w:r>
        <w:t xml:space="preserve">The Land Sector and Removals (LSR) Standard is acknowledged as critical for comprehensively accounting for land use, land-use change, and carbon removals. While specific land use data for raw material sourcing (e.g., deforestation for timber or agricultural feedstocks) was not provided in the detailed BOM, its importance for a complete cradle-to-grave assessment is recognized. Future iterations of this PCF will seek to integrate direct data on land use emissions and removals associated with material production, particularly for bio-based materials, to fully align with the LSR Standard\'s requirements.</w:t>
      </w:r>
    </w:p>
    <w:bookmarkEnd w:id="33"/>
    <w:bookmarkStart w:id="34" w:name="scope-3-compliance-95-coverage"/>
    <w:p>
      <w:pPr>
        <w:pStyle w:val="Heading4"/>
      </w:pPr>
      <w:r>
        <w:t xml:space="preserve">Scope 3 Compliance (95% Coverage)</w:t>
      </w:r>
    </w:p>
    <w:p>
      <w:pPr>
        <w:pStyle w:val="FirstParagraph"/>
      </w:pPr>
      <w:r>
        <w:t xml:space="preserve">This report quantifies emissions from Categories 1 (Purchased Goods and Services - Materials), 4 (Upstream Transportation and Distribution), 11 (Use of Sold Products), and 12 (End-of-Life Treatment of Sold Products), which typically constitute the vast majority of a product\'s lifecycle emissions. This approach is designed to achieve and exceed the 95% coverage requirement for Scope 3 reporting, ensuring a comprehensive understanding of the product\'s value chain emissions. Other minor Scope 3 categories (e.g., capital goods, waste from operations, business travel) are considered less material for a product-level PCF based on the provided parameters.</w:t>
      </w:r>
    </w:p>
    <w:p>
      <w:pPr>
        <w:pStyle w:val="BodyText"/>
      </w:pPr>
      <w:r>
        <w:br/>
      </w:r>
    </w:p>
    <w:p>
      <w:pPr>
        <w:pStyle w:val="BodyText"/>
      </w:pPr>
      <w:r>
        <w:rPr>
          <w:bCs/>
          <w:b/>
        </w:rPr>
        <w:t xml:space="preserve">Summary of Emissions by Scope: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Category</w:t>
            </w:r>
          </w:p>
        </w:tc>
        <w:tc>
          <w:tcPr/>
          <w:p>
            <w:pPr>
              <w:pStyle w:val="Compact"/>
              <w:jc w:val="left"/>
            </w:pPr>
            <w:r>
              <w:t xml:space="preserve">Emissions (kgCO2e per functional 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5.58</w:t>
            </w:r>
          </w:p>
        </w:tc>
      </w:tr>
      <w:tr>
        <w:tc>
          <w:tcPr/>
          <w:p>
            <w:pPr>
              <w:pStyle w:val="Compact"/>
              <w:jc w:val="left"/>
            </w:pPr>
            <w:r>
              <w:t xml:space="preserve">Scope 3 (Value Chain Emissions)</w:t>
            </w:r>
          </w:p>
        </w:tc>
        <w:tc>
          <w:tcPr/>
          <w:p>
            <w:pPr>
              <w:pStyle w:val="Compact"/>
              <w:jc w:val="left"/>
            </w:pPr>
            <w:r>
              <w:t xml:space="preserve">27.91</w:t>
            </w:r>
          </w:p>
        </w:tc>
      </w:tr>
    </w:tbl>
    <w:p>
      <w:pPr>
        <w:pStyle w:val="BodyText"/>
      </w:pPr>
      <w:r>
        <w:rPr>
          <w:bCs/>
          <w:b/>
        </w:rPr>
        <w:t xml:space="preserve">Grand Total Product Carbon Footprint: 33.50 kgCO2e per functional unit</w:t>
      </w:r>
    </w:p>
    <w:p>
      <w:r>
        <w:pict>
          <v:rect style="width:0;height:1.5pt" o:hralign="center" o:hrstd="t" o:hr="t"/>
        </w:pict>
      </w:r>
    </w:p>
    <w:bookmarkEnd w:id="34"/>
    <w:bookmarkEnd w:id="35"/>
    <w:bookmarkStart w:id="38" w:name="review-report"/>
    <w:p>
      <w:pPr>
        <w:pStyle w:val="Heading3"/>
      </w:pPr>
      <w:r>
        <w:t xml:space="preserve">5. Review &amp; Report</w:t>
      </w:r>
    </w:p>
    <w:bookmarkStart w:id="36" w:name="emission-hotspots"/>
    <w:p>
      <w:pPr>
        <w:pStyle w:val="Heading4"/>
      </w:pPr>
      <w:r>
        <w:t xml:space="preserve">Emission Hotspots</w:t>
      </w:r>
    </w:p>
    <w:p>
      <w:pPr>
        <w:pStyle w:val="FirstParagraph"/>
      </w:pPr>
      <w:r>
        <w:t xml:space="preserve">The analysis identifies the following key emission hotspots for lypgijrxdm:</w:t>
      </w:r>
    </w:p>
    <w:p>
      <w:pPr>
        <w:numPr>
          <w:ilvl w:val="0"/>
          <w:numId w:val="1013"/>
        </w:numPr>
        <w:pStyle w:val="Compact"/>
      </w:pPr>
      <w:r>
        <w:rPr>
          <w:bCs/>
          <w:b/>
        </w:rPr>
        <w:t xml:space="preserve">Purchased Goods and Services (Materials):</w:t>
      </w:r>
      <w:r>
        <w:t xml:space="preserve"> </w:t>
      </w:r>
      <w:r>
        <w:t xml:space="preserve">At 18.85 kgCO2e, material acquisition and processing represent the largest single contributor to the PCF. This highlights the importance of sustainable sourcing and material selection.</w:t>
      </w:r>
    </w:p>
    <w:p>
      <w:pPr>
        <w:numPr>
          <w:ilvl w:val="0"/>
          <w:numId w:val="1013"/>
        </w:numPr>
        <w:pStyle w:val="Compact"/>
      </w:pPr>
      <w:r>
        <w:rPr>
          <w:bCs/>
          <w:b/>
        </w:rPr>
        <w:t xml:space="preserve">Use Phase:</w:t>
      </w:r>
      <w:r>
        <w:t xml:space="preserve"> </w:t>
      </w:r>
      <w:r>
        <w:t xml:space="preserve">Energy consumption during the product\'s 3-year lifespan contributes significantly (13.70 kgCO2e), indicating opportunities for improving product energy efficiency or promoting renewable energy adoption by end-users.</w:t>
      </w:r>
    </w:p>
    <w:p>
      <w:pPr>
        <w:numPr>
          <w:ilvl w:val="0"/>
          <w:numId w:val="1013"/>
        </w:numPr>
        <w:pStyle w:val="Compact"/>
      </w:pPr>
      <w:r>
        <w:rPr>
          <w:bCs/>
          <w:b/>
        </w:rPr>
        <w:t xml:space="preserve">Production (Electricity):</w:t>
      </w:r>
      <w:r>
        <w:t xml:space="preserve"> </w:t>
      </w:r>
      <w:r>
        <w:t xml:space="preserve">The energy used in the manufacturing process in China accounts for 5.58 kgCO2e, suggesting further decarbonization of manufacturing operations (e.g., increasing renewable energy share beyond 40%) would be beneficial.</w:t>
      </w:r>
    </w:p>
    <w:p>
      <w:pPr>
        <w:numPr>
          <w:ilvl w:val="0"/>
          <w:numId w:val="1013"/>
        </w:numPr>
        <w:pStyle w:val="Compact"/>
      </w:pPr>
      <w:r>
        <w:rPr>
          <w:bCs/>
          <w:b/>
        </w:rPr>
        <w:t xml:space="preserve">End-of-Life:</w:t>
      </w:r>
      <w:r>
        <w:t xml:space="preserve"> </w:t>
      </w:r>
      <w:r>
        <w:t xml:space="preserve">The strong recyclability (60%) leads to a net carbon saving of -5.52 kgCO2e, demonstrating the positive impact of circular economy design and take-back programs (flquzigeue). Further increasing recyclability and optimizing recycling processes could enhance these savings.</w:t>
      </w:r>
    </w:p>
    <w:bookmarkEnd w:id="36"/>
    <w:bookmarkStart w:id="37" w:name="reliability"/>
    <w:p>
      <w:pPr>
        <w:pStyle w:val="Heading4"/>
      </w:pPr>
      <w:r>
        <w:t xml:space="preserve">Reliability</w:t>
      </w:r>
    </w:p>
    <w:p>
      <w:pPr>
        <w:pStyle w:val="FirstParagraph"/>
      </w:pPr>
      <w:r>
        <w:t xml:space="preserve">The reliability of this PCF is high for the stages where primary data (BOM "Total Carbon") was provided. For other stages, secondary data from reputable, industry-standard emission factor databases (Ecoinvent, DEFRA, Climatiq, IEA, EPA) has been used. The use of placeholder values for transport distance, renewable energy usage, and product consumption necessitated illustrative assumptions, which have been clearly stated. Future refinements can improve accuracy by incorporating more specific primary data for these parameters, particularly for actual transportation routes, modes, and operational energy consumption within the supply chain.</w:t>
      </w:r>
    </w:p>
    <w:p>
      <w:r>
        <w:pict>
          <v:rect style="width:0;height:1.5pt" o:hralign="center" o:hrstd="t" o:hr="t"/>
        </w:pict>
      </w:r>
    </w:p>
    <w:bookmarkEnd w:id="37"/>
    <w:bookmarkEnd w:id="38"/>
    <w:bookmarkEnd w:id="39"/>
    <w:bookmarkStart w:id="40" w:name="key-insights-and-recommendations"/>
    <w:p>
      <w:pPr>
        <w:pStyle w:val="Heading2"/>
      </w:pPr>
      <w:r>
        <w:t xml:space="preserve">Key Insights and Recommendations</w:t>
      </w:r>
    </w:p>
    <w:p>
      <w:pPr>
        <w:numPr>
          <w:ilvl w:val="0"/>
          <w:numId w:val="1014"/>
        </w:numPr>
        <w:pStyle w:val="Compact"/>
      </w:pPr>
      <w:r>
        <w:rPr>
          <w:bCs/>
          <w:b/>
        </w:rPr>
        <w:t xml:space="preserve">Material Decarbonization:</w:t>
      </w:r>
      <w:r>
        <w:t xml:space="preserve"> </w:t>
      </w:r>
      <w:r>
        <w:t xml:space="preserve">Focus on researching and sourcing lower-carbon alternative materials, optimizing material usage, and increasing recycled content. Engage with suppliers to obtain product-specific EPDs (Environmental Product Declarations) for raw materials.</w:t>
      </w:r>
    </w:p>
    <w:p>
      <w:pPr>
        <w:numPr>
          <w:ilvl w:val="0"/>
          <w:numId w:val="1014"/>
        </w:numPr>
        <w:pStyle w:val="Compact"/>
      </w:pPr>
      <w:r>
        <w:rPr>
          <w:bCs/>
          <w:b/>
        </w:rPr>
        <w:t xml:space="preserve">Energy Efficiency in Use:</w:t>
      </w:r>
      <w:r>
        <w:t xml:space="preserve"> </w:t>
      </w:r>
      <w:r>
        <w:t xml:space="preserve">Invest in R&amp;D to enhance the energy efficiency of lypgijrxdm during its operational life. Provide users with guidance on energy-saving practices. Advocate for increased renewable energy adoption in end-user regions.</w:t>
      </w:r>
    </w:p>
    <w:p>
      <w:pPr>
        <w:numPr>
          <w:ilvl w:val="0"/>
          <w:numId w:val="1014"/>
        </w:numPr>
        <w:pStyle w:val="Compact"/>
      </w:pPr>
      <w:r>
        <w:rPr>
          <w:bCs/>
          <w:b/>
        </w:rPr>
        <w:t xml:space="preserve">Manufacturing Optimization:</w:t>
      </w:r>
      <w:r>
        <w:t xml:space="preserve"> </w:t>
      </w:r>
      <w:r>
        <w:t xml:space="preserve">Explore further opportunities to increase renewable energy usage in the China-based production facility beyond the current 40% (ruyexmtvuq). Investigate process optimizations that reduce overall energy intensity (pziduogqjq).</w:t>
      </w:r>
    </w:p>
    <w:p>
      <w:pPr>
        <w:numPr>
          <w:ilvl w:val="0"/>
          <w:numId w:val="1014"/>
        </w:numPr>
        <w:pStyle w:val="Compact"/>
      </w:pPr>
      <w:r>
        <w:rPr>
          <w:bCs/>
          <w:b/>
        </w:rPr>
        <w:t xml:space="preserve">Circular Economy Advancement:</w:t>
      </w:r>
      <w:r>
        <w:t xml:space="preserve"> </w:t>
      </w:r>
      <w:r>
        <w:t xml:space="preserve">Leverage the strong recyclability (zkllwehvkw) by actively promoting and expanding take-back programs (flquzigeue) to ensure collected products are efficiently recycled or refurbished. Explore design for disassembly to improve recycling rates and material purity.</w:t>
      </w:r>
    </w:p>
    <w:p>
      <w:pPr>
        <w:numPr>
          <w:ilvl w:val="0"/>
          <w:numId w:val="1014"/>
        </w:numPr>
        <w:pStyle w:val="Compact"/>
      </w:pPr>
      <w:r>
        <w:rPr>
          <w:bCs/>
          <w:b/>
        </w:rPr>
        <w:t xml:space="preserve">Data Granularity:</w:t>
      </w:r>
      <w:r>
        <w:t xml:space="preserve"> </w:t>
      </w:r>
      <w:r>
        <w:t xml:space="preserve">For future PCF analyses, collect more granular, primary data for transportation logistics (actual distances, specific vehicle types, fill rates) and energy consumption in both production and use phases.</w:t>
      </w:r>
    </w:p>
    <w:p>
      <w:r>
        <w:pict>
          <v:rect style="width:0;height:1.5pt" o:hralign="center" o:hrstd="t" o:hr="t"/>
        </w:pict>
      </w:r>
    </w:p>
    <w:p>
      <w:pPr>
        <w:pStyle w:val="FirstParagraph"/>
      </w:pPr>
      <w:r>
        <w:t xml:space="preserve"> </w:t>
      </w:r>
      <w:r>
        <w:t xml:space="preserve">| 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lypgijrxdm</dc:title>
  <dc:creator/>
  <dc:description>High-detail Product Carbon Footprint (PCF) analysis for lypgijrxdm, adhering to GHG Protocol standards and 2026 LSR updates.</dc:description>
  <dc:language>en</dc:language>
  <cp:keywords/>
  <dcterms:created xsi:type="dcterms:W3CDTF">2026-05-30T18:30:58Z</dcterms:created>
  <dcterms:modified xsi:type="dcterms:W3CDTF">2026-05-30T18:30:58Z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