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lydegfjtns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lydegfjtns"/>
    <w:p>
      <w:pPr>
        <w:pStyle w:val="Heading2"/>
      </w:pPr>
      <w:r>
        <w:t xml:space="preserve">Product: lydegfjtns</w:t>
      </w:r>
    </w:p>
    <w:p>
      <w:pPr>
        <w:pStyle w:val="FirstParagraph"/>
      </w:pPr>
      <w:r>
        <w:rPr>
          <w:bCs/>
          <w:b/>
        </w:rPr>
        <w:t xml:space="preserve">Company:</w:t>
      </w:r>
      <w:r>
        <w:t xml:space="preserve"> </w:t>
      </w:r>
      <w:r>
        <w:t xml:space="preserve">ugeledqeid</w:t>
      </w:r>
    </w:p>
    <w:p>
      <w:pPr>
        <w:pStyle w:val="BodyText"/>
      </w:pPr>
      <w:r>
        <w:rPr>
          <w:bCs/>
          <w:b/>
        </w:rPr>
        <w:t xml:space="preserve">Senior Sustainability Consultant:</w:t>
      </w:r>
      <w:r>
        <w:t xml:space="preserve"> </w:t>
      </w:r>
      <w:r>
        <w:t xml:space="preserve">ostneyrrqf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final results are contingent on the precision and completeness of the input parameters. Illustrative values have been used for placeholder data where specific information was not provided, drawing from industry averages and recognized databases like Ecoinvent/DEFRA where appropriate.</w:t>
      </w:r>
    </w:p>
    <w:bookmarkEnd w:id="20"/>
    <w:bookmarkEnd w:id="21"/>
    <w:bookmarkStart w:id="22" w:name="X0e46bcf70c464867a83925561445a79e0b39a34"/>
    <w:p>
      <w:pPr>
        <w:pStyle w:val="Heading1"/>
      </w:pPr>
      <w:r>
        <w:t xml:space="preserve">Product Carbon Footprint Analysis Report - lydegfjtns</w:t>
      </w:r>
    </w:p>
    <w:p>
      <w:pPr>
        <w:pStyle w:val="FirstParagraph"/>
      </w:pPr>
      <w:r>
        <w:t xml:space="preserve">Generated Date: June 4,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 "lydegfjtns" manufactured by "ugeledqeid." The analysis was conducted by Senior Sustainability Consultant "ostneyrrqf," adhering to the GHG Protocol standards, including the 2026 Land Sector and Removals (LSR) Update and ensuring a minimum of 95% Scope 3 coverage. The primary goal is to quantify the greenhouse gas emissions across the product\'s lifecycle, identify emission hotspots, and provide a foundation for sustainability improvements. The assessment employs a comprehensive methodology covering material acquisition, production, transport, use, and end-of-life phases, utilizing both provided specific data and industry-standard emission factors where necessary. Illustrative data has been used for certain parameters where specific values were indicated as placeholders.</w:t>
      </w:r>
    </w:p>
    <w:p>
      <w:r>
        <w:pict>
          <v:rect style="width:0;height:1.5pt" o:hralign="center" o:hrstd="t" o:hr="t"/>
        </w:pict>
      </w:r>
    </w:p>
    <w:bookmarkEnd w:id="23"/>
    <w:bookmarkStart w:id="29" w:name="methodology-and-scope-definition"/>
    <w:p>
      <w:pPr>
        <w:pStyle w:val="Heading2"/>
      </w:pPr>
      <w:r>
        <w:t xml:space="preserve">2. Methodology and Scope Definition</w:t>
      </w:r>
    </w:p>
    <w:bookmarkStart w:id="24" w:name="accounting-standard"/>
    <w:p>
      <w:pPr>
        <w:pStyle w:val="Heading3"/>
      </w:pPr>
      <w:r>
        <w:t xml:space="preserve">2.1. Accounting Standard</w:t>
      </w:r>
    </w:p>
    <w:p>
      <w:pPr>
        <w:pStyle w:val="FirstParagraph"/>
      </w:pPr>
      <w:r>
        <w:t xml:space="preserve">The Product Carbon Footprint analysis is conducted in accordance with the</w:t>
      </w:r>
      <w:r>
        <w:t xml:space="preserve"> </w:t>
      </w:r>
      <w:r>
        <w:rPr>
          <w:bCs/>
          <w:b/>
        </w:rPr>
        <w:t xml:space="preserve">GHG Protocol</w:t>
      </w:r>
      <w:r>
        <w:t xml:space="preserve">, the most widely used international accounting tool for quantifying greenhouse gas emissions. This includes categorizing emissions into Scope 1 (direct), Scope 2 (purchased energy), and Scope 3 (value chain) to ensure comprehensive coverage. Additionally, the analysis applies the principles of the</w:t>
      </w:r>
      <w:r>
        <w:t xml:space="preserve"> </w:t>
      </w:r>
      <w:r>
        <w:rPr>
          <w:bCs/>
          <w:b/>
        </w:rPr>
        <w:t xml:space="preserve">2026 Land Sector and Removals (LSR) Standard</w:t>
      </w:r>
      <w:r>
        <w:t xml:space="preserve">, which was released on January 30, 2026, and becomes effective on January 1, 2027. This standard provides accounting requirements for land emissions, CO2 removals, and technological CO2 removals, building upon the Corporate Standard and Scope 3 Standard. While specific land-use changes or biogenic removals directly related to the production of "lydegfjtns" were not provided in the parameters, the framework for accounting for such impacts is acknowledged and would be integrated in a full assessment.</w:t>
      </w:r>
    </w:p>
    <w:bookmarkEnd w:id="24"/>
    <w:bookmarkStart w:id="25" w:name="functional-unit"/>
    <w:p>
      <w:pPr>
        <w:pStyle w:val="Heading3"/>
      </w:pPr>
      <w:r>
        <w:t xml:space="preserve">2.2. Functional Unit</w:t>
      </w:r>
    </w:p>
    <w:p>
      <w:pPr>
        <w:pStyle w:val="FirstParagraph"/>
      </w:pPr>
      <w:r>
        <w:t xml:space="preserve">The functional unit for this PCF analysis is defined as</w:t>
      </w:r>
      <w:r>
        <w:t xml:space="preserve"> </w:t>
      </w:r>
      <w:r>
        <w:rPr>
          <w:bCs/>
          <w:b/>
        </w:rPr>
        <w:t xml:space="preserve">1.0 unit of lydegfjtns</w:t>
      </w:r>
      <w:r>
        <w:t xml:space="preserve">. This unit serves as the reference basis for all quantified environmental impacts, allowing for consistent comparisons and calculations across different lifecycle stages.</w:t>
      </w:r>
    </w:p>
    <w:bookmarkEnd w:id="25"/>
    <w:bookmarkStart w:id="26" w:name="system-boundary"/>
    <w:p>
      <w:pPr>
        <w:pStyle w:val="Heading3"/>
      </w:pPr>
      <w:r>
        <w:t xml:space="preserve">2.3. System Boundary</w:t>
      </w:r>
    </w:p>
    <w:p>
      <w:pPr>
        <w:pStyle w:val="FirstParagraph"/>
      </w:pPr>
      <w:r>
        <w:t xml:space="preserve">The system boundary for this PCF analysis is defined as</w:t>
      </w:r>
      <w:r>
        <w:t xml:space="preserve"> </w:t>
      </w:r>
      <w:r>
        <w:rPr>
          <w:bCs/>
          <w:b/>
        </w:rPr>
        <w:t xml:space="preserve">"cradle-to-grave,"</w:t>
      </w:r>
      <w:r>
        <w:t xml:space="preserve"> </w:t>
      </w:r>
      <w:r>
        <w:t xml:space="preserve">extending beyond the initially stated "factory_gate" to encompass all relevant lifecycle stages as per the provided parameters. While the "factory_gate" serves as the primary focus for direct production emissions (Scope 1 and 2), the analysis also explicitly includes upstream (raw material extraction, pre-processing, inbound logistics) and downstream (outbound logistics, product use phase, and end-of-life) impacts to provide a holistic view of the product\'s environmental footprint. This comprehensive approach is essential for identifying all major emission hotspots across the entire value chain.</w:t>
      </w:r>
    </w:p>
    <w:bookmarkEnd w:id="26"/>
    <w:bookmarkStart w:id="27" w:name="geographic-scope"/>
    <w:p>
      <w:pPr>
        <w:pStyle w:val="Heading3"/>
      </w:pPr>
      <w:r>
        <w:t xml:space="preserve">2.4. Geographic Scope</w:t>
      </w:r>
    </w:p>
    <w:p>
      <w:pPr>
        <w:pStyle w:val="FirstParagraph"/>
      </w:pPr>
      <w:r>
        <w:t xml:space="preserve">The geographic scope covers the entire supply chain with a focus on specific regions:</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potentially downstream distribution).</w:t>
      </w:r>
    </w:p>
    <w:bookmarkEnd w:id="27"/>
    <w:bookmarkStart w:id="28" w:name="allocation"/>
    <w:p>
      <w:pPr>
        <w:pStyle w:val="Heading3"/>
      </w:pPr>
      <w:r>
        <w:t xml:space="preserve">2.5. Allocation</w:t>
      </w:r>
    </w:p>
    <w:p>
      <w:pPr>
        <w:pStyle w:val="FirstParagraph"/>
      </w:pPr>
      <w:r>
        <w:t xml:space="preserve">In this PCF analysis, no specific co-product or by-product allocation issues were identified based on the provided data. Emissions are directly attributed to the functional unit (1.0 unit of lydegfjtns).</w:t>
      </w:r>
    </w:p>
    <w:p>
      <w:r>
        <w:pict>
          <v:rect style="width:0;height:1.5pt" o:hralign="center" o:hrstd="t" o:hr="t"/>
        </w:pict>
      </w:r>
    </w:p>
    <w:bookmarkEnd w:id="28"/>
    <w:bookmarkEnd w:id="29"/>
    <w:bookmarkStart w:id="40" w:name="X2bf58de29a7a901ba932b9a6a779f7f86e80a1b"/>
    <w:p>
      <w:pPr>
        <w:pStyle w:val="Heading2"/>
      </w:pPr>
      <w:r>
        <w:t xml:space="preserve">3. Lifecycle Mapping and Data Collection (LCI Inventory)</w:t>
      </w:r>
    </w:p>
    <w:p>
      <w:pPr>
        <w:pStyle w:val="FirstParagraph"/>
      </w:pPr>
      <w:r>
        <w:t xml:space="preserve">This section details the lifecycle stages considered and the primary and secondary data points collected for the analysis. Given the nature of some input parameters, illustrative values and typical industry-standard emission factors (e.g., from Ecoinvent or DEFRA databases) are used where specific data was indicated as placeholders.</w:t>
      </w:r>
    </w:p>
    <w:bookmarkStart w:id="31" w:name="Xcf5b53bc3026026cd9851449b73ab54962d8162"/>
    <w:p>
      <w:pPr>
        <w:pStyle w:val="Heading3"/>
      </w:pPr>
      <w:r>
        <w:t xml:space="preserve">3.1. Materials Acquisition &amp; Pre-processing (Raw Materials)</w:t>
      </w:r>
    </w:p>
    <w:p>
      <w:pPr>
        <w:pStyle w:val="FirstParagraph"/>
      </w:pPr>
      <w:r>
        <w:t xml:space="preserve">The Bill of Materials (BOM) for "lydegfjtns" provides specific data for material impact calculation. These values are directly incorporated to ensure high accuracy for material-related emissions.</w:t>
      </w:r>
    </w:p>
    <w:bookmarkStart w:id="30" w:name="X067e74b19484b7db24f32061af612dfb4032c2f"/>
    <w:p>
      <w:pPr>
        <w:pStyle w:val="Heading4"/>
      </w:pPr>
      <w:r>
        <w:t xml:space="preserve">Detailed Bill of Materials (BOM) for lydegfjtns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E1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 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C1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4.0</w:t>
            </w:r>
          </w:p>
        </w:tc>
        <w:tc>
          <w:tcPr/>
          <w:p>
            <w:pPr>
              <w:pStyle w:val="Compact"/>
              <w:jc w:val="left"/>
            </w:pPr>
            <w:r>
              <w:t xml:space="preserve">0.4</w:t>
            </w:r>
          </w:p>
        </w:tc>
      </w:tr>
    </w:tbl>
    <w:bookmarkEnd w:id="30"/>
    <w:bookmarkEnd w:id="31"/>
    <w:bookmarkStart w:id="33" w:name="manufacturingproduction"/>
    <w:p>
      <w:pPr>
        <w:pStyle w:val="Heading3"/>
      </w:pPr>
      <w:r>
        <w:t xml:space="preserve">3.2. Manufacturing/Production</w:t>
      </w:r>
    </w:p>
    <w:p>
      <w:pPr>
        <w:pStyle w:val="FirstParagraph"/>
      </w:pPr>
      <w:r>
        <w:t xml:space="preserve">The production phase of "lydegfjtns" takes place in China. Energy consumption and renewable energy usage are critical factors in this stage. Illustrative data is used for calculation due to placeholder values.</w:t>
      </w:r>
    </w:p>
    <w:bookmarkStart w:id="32" w:name="production-energy-inputs"/>
    <w:p>
      <w:pPr>
        <w:pStyle w:val="Heading4"/>
      </w:pPr>
      <w:r>
        <w:t xml:space="preserve">Production Energy Inputs</w:t>
      </w:r>
    </w:p>
    <w:p>
      <w:pPr>
        <w:numPr>
          <w:ilvl w:val="0"/>
          <w:numId w:val="1002"/>
        </w:numPr>
        <w:pStyle w:val="Compact"/>
      </w:pPr>
      <w:r>
        <w:rPr>
          <w:bCs/>
          <w:b/>
        </w:rPr>
        <w:t xml:space="preserve">Energy Intensity (kWh/unit):</w:t>
      </w:r>
      <w:r>
        <w:t xml:space="preserve"> </w:t>
      </w:r>
      <w:r>
        <w:t xml:space="preserve">fjvovgowpu (Illustrative: 10 kWh/unit)</w:t>
      </w:r>
    </w:p>
    <w:p>
      <w:pPr>
        <w:numPr>
          <w:ilvl w:val="0"/>
          <w:numId w:val="1002"/>
        </w:numPr>
        <w:pStyle w:val="Compact"/>
      </w:pPr>
      <w:r>
        <w:rPr>
          <w:bCs/>
          <w:b/>
        </w:rPr>
        <w:t xml:space="preserve">Renewable Energy Usage:</w:t>
      </w:r>
      <w:r>
        <w:t xml:space="preserve"> </w:t>
      </w:r>
      <w:r>
        <w:t xml:space="preserve">dnsypmpujj (Illustrative: 50%)</w:t>
      </w:r>
    </w:p>
    <w:p>
      <w:pPr>
        <w:numPr>
          <w:ilvl w:val="0"/>
          <w:numId w:val="1002"/>
        </w:numPr>
        <w:pStyle w:val="Compact"/>
      </w:pPr>
      <w:r>
        <w:rPr>
          <w:bCs/>
          <w:b/>
        </w:rPr>
        <w:t xml:space="preserve">Assumed Grid Electricity Emission Factor (China):</w:t>
      </w:r>
      <w:r>
        <w:t xml:space="preserve"> </w:t>
      </w:r>
      <w:r>
        <w:t xml:space="preserve">0.6 kg CO2e/kWh (for non-renewable portion), reflecting reported values for China\'s electricity carbon footprint factors which can exceed 0.6 kg CO2e/kWh.</w:t>
      </w:r>
    </w:p>
    <w:p>
      <w:pPr>
        <w:numPr>
          <w:ilvl w:val="0"/>
          <w:numId w:val="1002"/>
        </w:numPr>
        <w:pStyle w:val="Compact"/>
      </w:pPr>
      <w:r>
        <w:rPr>
          <w:bCs/>
          <w:b/>
        </w:rPr>
        <w:t xml:space="preserve">Assumed Renewable Electricity Emission Factor:</w:t>
      </w:r>
      <w:r>
        <w:t xml:space="preserve"> </w:t>
      </w:r>
      <w:r>
        <w:t xml:space="preserve">0.0 kg CO2e/kWh (representing carbon-neutral renewable sources).</w:t>
      </w:r>
    </w:p>
    <w:bookmarkEnd w:id="32"/>
    <w:bookmarkEnd w:id="33"/>
    <w:bookmarkStart w:id="35" w:name="transport-and-logistics"/>
    <w:p>
      <w:pPr>
        <w:pStyle w:val="Heading3"/>
      </w:pPr>
      <w:r>
        <w:t xml:space="preserve">3.3. Transport and Logistics</w:t>
      </w:r>
    </w:p>
    <w:p>
      <w:pPr>
        <w:pStyle w:val="FirstParagraph"/>
      </w:pPr>
      <w:r>
        <w:t xml:space="preserve">Transportation impacts include inbound logistics of raw materials to the manufacturing facility and outbound distribution to the customer. Illustrative data is used, drawing on general industry emission factors.</w:t>
      </w:r>
    </w:p>
    <w:bookmarkStart w:id="34" w:name="detailed-logistics-data"/>
    <w:p>
      <w:pPr>
        <w:pStyle w:val="Heading4"/>
      </w:pPr>
      <w:r>
        <w:t xml:space="preserve">Detailed Logistics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Transport Mode</w:t>
            </w:r>
          </w:p>
        </w:tc>
        <w:tc>
          <w:tcPr/>
          <w:p>
            <w:pPr>
              <w:pStyle w:val="Compact"/>
              <w:jc w:val="left"/>
            </w:pPr>
            <w:r>
              <w:t xml:space="preserve">Transport Distance</w:t>
            </w:r>
          </w:p>
        </w:tc>
        <w:tc>
          <w:tcPr/>
          <w:p>
            <w:pPr>
              <w:pStyle w:val="Compact"/>
              <w:jc w:val="left"/>
            </w:pPr>
            <w:r>
              <w:t xml:space="preserve">Product Weight (assumed)</w:t>
            </w:r>
          </w:p>
        </w:tc>
        <w:tc>
          <w:tcPr/>
          <w:p>
            <w:pPr>
              <w:pStyle w:val="Compact"/>
              <w:jc w:val="left"/>
            </w:pPr>
            <w:r>
              <w:t xml:space="preserve">Assumed Emission Factor (kg CO2e/tkm)</w:t>
            </w:r>
          </w:p>
        </w:tc>
      </w:tr>
      <w:tr>
        <w:tc>
          <w:tcPr/>
          <w:p>
            <w:pPr>
              <w:pStyle w:val="Compact"/>
              <w:jc w:val="left"/>
            </w:pPr>
            <w:r>
              <w:t xml:space="preserve">Inbound (Raw Materials)</w:t>
            </w:r>
          </w:p>
        </w:tc>
        <w:tc>
          <w:tcPr/>
          <w:p>
            <w:pPr>
              <w:pStyle w:val="Compact"/>
              <w:jc w:val="left"/>
            </w:pPr>
            <w:r>
              <w:t xml:space="preserve">Select Mode (Illustrative: Truck, Heavy Goods Vehicle)</w:t>
            </w:r>
          </w:p>
        </w:tc>
        <w:tc>
          <w:tcPr/>
          <w:p>
            <w:pPr>
              <w:pStyle w:val="Compact"/>
              <w:jc w:val="left"/>
            </w:pPr>
            <w:r>
              <w:t xml:space="preserve">immspzfluu (Illustrative: 1500 km)</w:t>
            </w:r>
          </w:p>
        </w:tc>
        <w:tc>
          <w:tcPr/>
          <w:p>
            <w:pPr>
              <w:pStyle w:val="Compact"/>
              <w:jc w:val="left"/>
            </w:pPr>
            <w:r>
              <w:t xml:space="preserve">0.8 kg (total material)</w:t>
            </w:r>
          </w:p>
        </w:tc>
        <w:tc>
          <w:tcPr/>
          <w:p>
            <w:pPr>
              <w:pStyle w:val="Compact"/>
              <w:jc w:val="left"/>
            </w:pPr>
            <w:r>
              <w:t xml:space="preserve">0.1</w:t>
            </w:r>
          </w:p>
        </w:tc>
      </w:tr>
      <w:tr>
        <w:tc>
          <w:tcPr/>
          <w:p>
            <w:pPr>
              <w:pStyle w:val="Compact"/>
              <w:jc w:val="left"/>
            </w:pPr>
            <w:r>
              <w:t xml:space="preserve">Outbound (Factory to Distribution)</w:t>
            </w:r>
          </w:p>
        </w:tc>
        <w:tc>
          <w:tcPr/>
          <w:p>
            <w:pPr>
              <w:pStyle w:val="Compact"/>
              <w:jc w:val="left"/>
            </w:pPr>
            <w:r>
              <w:t xml:space="preserve">Select Mode (Illustrative: Truck, Heavy Goods Vehicle)</w:t>
            </w:r>
          </w:p>
        </w:tc>
        <w:tc>
          <w:tcPr/>
          <w:p>
            <w:pPr>
              <w:pStyle w:val="Compact"/>
              <w:jc w:val="left"/>
            </w:pPr>
            <w:r>
              <w:t xml:space="preserve">immspzfluu (Illustrative: 500 km)</w:t>
            </w:r>
          </w:p>
        </w:tc>
        <w:tc>
          <w:tcPr/>
          <w:p>
            <w:pPr>
              <w:pStyle w:val="Compact"/>
              <w:jc w:val="left"/>
            </w:pPr>
            <w:r>
              <w:t xml:space="preserve">1.0 kg (finished product)</w:t>
            </w:r>
          </w:p>
        </w:tc>
        <w:tc>
          <w:tcPr/>
          <w:p>
            <w:pPr>
              <w:pStyle w:val="Compact"/>
              <w:jc w:val="left"/>
            </w:pPr>
            <w:r>
              <w:t xml:space="preserve">0.1</w:t>
            </w:r>
          </w:p>
        </w:tc>
      </w:tr>
      <w:tr>
        <w:tc>
          <w:tcPr/>
          <w:p>
            <w:pPr>
              <w:pStyle w:val="Compact"/>
              <w:jc w:val="left"/>
            </w:pPr>
            <w:r>
              <w:t xml:space="preserve">Last-Mile Delivery</w:t>
            </w:r>
          </w:p>
        </w:tc>
        <w:tc>
          <w:tcPr/>
          <w:p>
            <w:pPr>
              <w:pStyle w:val="Compact"/>
              <w:jc w:val="left"/>
            </w:pPr>
            <w:r>
              <w:t xml:space="preserve">Delivery Type (Illustrative: Small Van/Parcel Delivery)</w:t>
            </w:r>
          </w:p>
        </w:tc>
        <w:tc>
          <w:tcPr/>
          <w:p>
            <w:pPr>
              <w:pStyle w:val="Compact"/>
              <w:jc w:val="left"/>
            </w:pPr>
            <w:r>
              <w:t xml:space="preserve">immspzfluu (Illustrative: 50 km)</w:t>
            </w:r>
          </w:p>
        </w:tc>
        <w:tc>
          <w:tcPr/>
          <w:p>
            <w:pPr>
              <w:pStyle w:val="Compact"/>
              <w:jc w:val="left"/>
            </w:pPr>
            <w:r>
              <w:t xml:space="preserve">1.0 kg (finished product)</w:t>
            </w:r>
          </w:p>
        </w:tc>
        <w:tc>
          <w:tcPr/>
          <w:p>
            <w:pPr>
              <w:pStyle w:val="Compact"/>
              <w:jc w:val="left"/>
            </w:pPr>
            <w:r>
              <w:t xml:space="preserve">0.3</w:t>
            </w:r>
          </w:p>
        </w:tc>
      </w:tr>
    </w:tbl>
    <w:p>
      <w:pPr>
        <w:pStyle w:val="BodyText"/>
      </w:pPr>
      <w:r>
        <w:t xml:space="preserve">Note: The product weight for transport calculations is assumed to be 1.0 kg for the finished product for simplicity in downstream logistics, and 0.8 kg for raw materials based on BOM sum for inbound. Emission factors for transport modes are illustrative and typical of industry averages.</w:t>
      </w:r>
    </w:p>
    <w:bookmarkEnd w:id="34"/>
    <w:bookmarkEnd w:id="35"/>
    <w:bookmarkStart w:id="37" w:name="product-use-phase"/>
    <w:p>
      <w:pPr>
        <w:pStyle w:val="Heading3"/>
      </w:pPr>
      <w:r>
        <w:t xml:space="preserve">3.4. Product Use Phase</w:t>
      </w:r>
    </w:p>
    <w:p>
      <w:pPr>
        <w:pStyle w:val="FirstParagraph"/>
      </w:pPr>
      <w:r>
        <w:t xml:space="preserve">The energy consumption during the product\'s lifespan contributes to its overall footprint. Illustrative data is used.</w:t>
      </w:r>
    </w:p>
    <w:bookmarkStart w:id="36" w:name="use-phase-parameters"/>
    <w:p>
      <w:pPr>
        <w:pStyle w:val="Heading4"/>
      </w:pPr>
      <w:r>
        <w:t xml:space="preserve">Use Phase Parameters</w:t>
      </w:r>
    </w:p>
    <w:p>
      <w:pPr>
        <w:numPr>
          <w:ilvl w:val="0"/>
          <w:numId w:val="1003"/>
        </w:numPr>
        <w:pStyle w:val="Compact"/>
      </w:pPr>
      <w:r>
        <w:rPr>
          <w:bCs/>
          <w:b/>
        </w:rPr>
        <w:t xml:space="preserve">Product Lifespan:</w:t>
      </w:r>
      <w:r>
        <w:t xml:space="preserve"> </w:t>
      </w:r>
      <w:r>
        <w:t xml:space="preserve">gveemymkvr (Illustrative: 5 years)</w:t>
      </w:r>
    </w:p>
    <w:p>
      <w:pPr>
        <w:numPr>
          <w:ilvl w:val="0"/>
          <w:numId w:val="1003"/>
        </w:numPr>
        <w:pStyle w:val="Compact"/>
      </w:pPr>
      <w:r>
        <w:rPr>
          <w:bCs/>
          <w:b/>
        </w:rPr>
        <w:t xml:space="preserve">Energy Consumption in Use:</w:t>
      </w:r>
      <w:r>
        <w:t xml:space="preserve"> </w:t>
      </w:r>
      <w:r>
        <w:t xml:space="preserve">ljvtluzxhq (Illustrative: 20 kWh/year)</w:t>
      </w:r>
    </w:p>
    <w:p>
      <w:pPr>
        <w:numPr>
          <w:ilvl w:val="0"/>
          <w:numId w:val="1003"/>
        </w:numPr>
        <w:pStyle w:val="Compact"/>
      </w:pPr>
      <w:r>
        <w:rPr>
          <w:bCs/>
          <w:b/>
        </w:rPr>
        <w:t xml:space="preserve">Assumed User Electricity Emission Factor (Europe average):</w:t>
      </w:r>
      <w:r>
        <w:t xml:space="preserve"> </w:t>
      </w:r>
      <w:r>
        <w:t xml:space="preserve">0.25 kg CO2e/kWh, reflecting the average carbon intensity of electricity generation in the European Union which was around 0.175 kg CO2e/kWh in 2025 but can vary.</w:t>
      </w:r>
    </w:p>
    <w:bookmarkEnd w:id="36"/>
    <w:bookmarkEnd w:id="37"/>
    <w:bookmarkStart w:id="39" w:name="end-of-life-eol"/>
    <w:p>
      <w:pPr>
        <w:pStyle w:val="Heading3"/>
      </w:pPr>
      <w:r>
        <w:t xml:space="preserve">3.5. End-of-Life (EoL)</w:t>
      </w:r>
    </w:p>
    <w:p>
      <w:pPr>
        <w:pStyle w:val="FirstParagraph"/>
      </w:pPr>
      <w:r>
        <w:t xml:space="preserve">The recyclability and circular programs at the end of the product\'s life are considered to reflect circular economy impacts. Illustrative data is used, based on general assumptions for waste treatment.</w:t>
      </w:r>
    </w:p>
    <w:bookmarkStart w:id="38" w:name="end-of-life-scenarios"/>
    <w:p>
      <w:pPr>
        <w:pStyle w:val="Heading4"/>
      </w:pPr>
      <w:r>
        <w:t xml:space="preserve">End-of-Life Scenarios</w:t>
      </w:r>
    </w:p>
    <w:p>
      <w:pPr>
        <w:numPr>
          <w:ilvl w:val="0"/>
          <w:numId w:val="1004"/>
        </w:numPr>
        <w:pStyle w:val="Compact"/>
      </w:pPr>
      <w:r>
        <w:rPr>
          <w:bCs/>
          <w:b/>
        </w:rPr>
        <w:t xml:space="preserve">Recyclability Percentage:</w:t>
      </w:r>
      <w:r>
        <w:t xml:space="preserve"> </w:t>
      </w:r>
      <w:r>
        <w:t xml:space="preserve">mmpliuojkn (Illustrative: 70%)</w:t>
      </w:r>
    </w:p>
    <w:p>
      <w:pPr>
        <w:numPr>
          <w:ilvl w:val="0"/>
          <w:numId w:val="1004"/>
        </w:numPr>
        <w:pStyle w:val="Compact"/>
      </w:pPr>
      <w:r>
        <w:rPr>
          <w:bCs/>
          <w:b/>
        </w:rPr>
        <w:t xml:space="preserve">Circular/Take-back Programs:</w:t>
      </w:r>
      <w:r>
        <w:t xml:space="preserve"> </w:t>
      </w:r>
      <w:r>
        <w:t xml:space="preserve">vokisunois (Illustrative: Yes, established program)</w:t>
      </w:r>
    </w:p>
    <w:p>
      <w:pPr>
        <w:numPr>
          <w:ilvl w:val="0"/>
          <w:numId w:val="1004"/>
        </w:numPr>
        <w:pStyle w:val="Compact"/>
      </w:pPr>
      <w:r>
        <w:rPr>
          <w:bCs/>
          <w:b/>
        </w:rPr>
        <w:t xml:space="preserve">Assumed Emission Factor for Non-Recycled Waste (e.g., Incineration/Landfill):</w:t>
      </w:r>
      <w:r>
        <w:t xml:space="preserve"> </w:t>
      </w:r>
      <w:r>
        <w:t xml:space="preserve">1.0 kg CO2e/kg</w:t>
      </w:r>
    </w:p>
    <w:p>
      <w:pPr>
        <w:numPr>
          <w:ilvl w:val="0"/>
          <w:numId w:val="1004"/>
        </w:numPr>
        <w:pStyle w:val="Compact"/>
      </w:pPr>
      <w:r>
        <w:rPr>
          <w:bCs/>
          <w:b/>
        </w:rPr>
        <w:t xml:space="preserve">Assumed Avoided Emissions from Recycling (Net Benefit):</w:t>
      </w:r>
      <w:r>
        <w:t xml:space="preserve"> </w:t>
      </w:r>
      <w:r>
        <w:t xml:space="preserve">-0.5 kg CO2e/kg (for the recycled portion, representing the emissions saved by using recycled material instead of virgin material).</w:t>
      </w:r>
    </w:p>
    <w:p>
      <w:r>
        <w:pict>
          <v:rect style="width:0;height:1.5pt" o:hralign="center" o:hrstd="t" o:hr="t"/>
        </w:pict>
      </w:r>
    </w:p>
    <w:bookmarkEnd w:id="38"/>
    <w:bookmarkEnd w:id="39"/>
    <w:bookmarkEnd w:id="40"/>
    <w:bookmarkStart w:id="46" w:name="Xdd0f433185fde5fd9508eee9e1e7bcaa542b608"/>
    <w:p>
      <w:pPr>
        <w:pStyle w:val="Heading2"/>
      </w:pPr>
      <w:r>
        <w:t xml:space="preserve">4. Emission Calculation and GHG Protocol Categorization</w:t>
      </w:r>
    </w:p>
    <w:p>
      <w:pPr>
        <w:pStyle w:val="FirstParagraph"/>
      </w:pPr>
      <w:r>
        <w:t xml:space="preserve">This section details the calculation of emissions for each lifecycle stage and categorizes them according to the GHG Protocol (Scope 1, 2, and 3).</w:t>
      </w:r>
    </w:p>
    <w:bookmarkStart w:id="41" w:name="scope-1-emissions-direct-emissions"/>
    <w:p>
      <w:pPr>
        <w:pStyle w:val="Heading3"/>
      </w:pPr>
      <w:r>
        <w:t xml:space="preserve">4.1. Scope 1 Emissions (Direct Emissions)</w:t>
      </w:r>
    </w:p>
    <w:p>
      <w:pPr>
        <w:pStyle w:val="FirstParagraph"/>
      </w:pPr>
      <w:r>
        <w:t xml:space="preserve">No direct on-site combustion or process emissions (Scope 1) were specified in the provided parameters for ugeledqeid\'s operations related to lydegfjtns production. Therefore, Scope 1 emissions are considered negligible for this analysis based on available data.</w:t>
      </w:r>
    </w:p>
    <w:p>
      <w:pPr>
        <w:pStyle w:val="BodyText"/>
      </w:pPr>
      <w:r>
        <w:rPr>
          <w:bCs/>
          <w:b/>
        </w:rPr>
        <w:t xml:space="preserve">Total Scope 1 Emissions: 0.00 kg CO2e</w:t>
      </w:r>
    </w:p>
    <w:bookmarkEnd w:id="41"/>
    <w:bookmarkStart w:id="42" w:name="scope-2-emissions-purchased-energy"/>
    <w:p>
      <w:pPr>
        <w:pStyle w:val="Heading3"/>
      </w:pPr>
      <w:r>
        <w:t xml:space="preserve">4.2. Scope 2 Emissions (Purchased Energy)</w:t>
      </w:r>
    </w:p>
    <w:p>
      <w:pPr>
        <w:pStyle w:val="FirstParagraph"/>
      </w:pPr>
      <w:r>
        <w:t xml:space="preserve">Scope 2 emissions arise from the electricity purchased for the manufacturing process in China.</w:t>
      </w:r>
    </w:p>
    <w:p>
      <w:pPr>
        <w:numPr>
          <w:ilvl w:val="0"/>
          <w:numId w:val="1005"/>
        </w:numPr>
        <w:pStyle w:val="Compact"/>
      </w:pPr>
      <w:r>
        <w:t xml:space="preserve">Total Energy Consumption: 10 kWh/unit</w:t>
      </w:r>
    </w:p>
    <w:p>
      <w:pPr>
        <w:numPr>
          <w:ilvl w:val="0"/>
          <w:numId w:val="1005"/>
        </w:numPr>
        <w:pStyle w:val="Compact"/>
      </w:pPr>
      <w:r>
        <w:t xml:space="preserve">Renewable Energy Usage: 50%</w:t>
      </w:r>
    </w:p>
    <w:p>
      <w:pPr>
        <w:numPr>
          <w:ilvl w:val="0"/>
          <w:numId w:val="1005"/>
        </w:numPr>
        <w:pStyle w:val="Compact"/>
      </w:pPr>
      <w:r>
        <w:t xml:space="preserve">Non-renewable Energy: 10 kWh/unit * (1 - 0.50) = 5 kWh/unit</w:t>
      </w:r>
    </w:p>
    <w:p>
      <w:pPr>
        <w:numPr>
          <w:ilvl w:val="0"/>
          <w:numId w:val="1005"/>
        </w:numPr>
        <w:pStyle w:val="Compact"/>
      </w:pPr>
      <w:r>
        <w:t xml:space="preserve">Emissions from Non-renewable Energy: 5 kWh/unit * 0.6 kg CO2e/kWh = 3.00 kg CO2e</w:t>
      </w:r>
    </w:p>
    <w:p>
      <w:pPr>
        <w:pStyle w:val="FirstParagraph"/>
      </w:pPr>
      <w:r>
        <w:rPr>
          <w:bCs/>
          <w:b/>
        </w:rPr>
        <w:t xml:space="preserve">Total Scope 2 Emissions: 3.00 kg CO2e</w:t>
      </w:r>
    </w:p>
    <w:bookmarkEnd w:id="42"/>
    <w:bookmarkStart w:id="45" w:name="scope-3-emissions-value-chain"/>
    <w:p>
      <w:pPr>
        <w:pStyle w:val="Heading3"/>
      </w:pPr>
      <w:r>
        <w:t xml:space="preserve">4.3. Scope 3 Emissions (Value Chain)</w:t>
      </w:r>
    </w:p>
    <w:p>
      <w:pPr>
        <w:pStyle w:val="FirstParagraph"/>
      </w:pPr>
      <w:r>
        <w:t xml:space="preserve">Scope 3 emissions cover all other indirect emissions throughout the value chain, representing the most significant portion of the product\'s footprint.</w:t>
      </w:r>
    </w:p>
    <w:bookmarkStart w:id="43" w:name="X179160eaabb3d2a6f5268f5d416756474b0ca69"/>
    <w:p>
      <w:pPr>
        <w:pStyle w:val="Heading4"/>
      </w:pPr>
      <w:r>
        <w:t xml:space="preserve">4.3.1. Upstream Emissions (Category 1: Purchased Goods and Services; Category 4: Upstream Transportation and Distribution)</w:t>
      </w:r>
    </w:p>
    <w:p>
      <w:pPr>
        <w:pStyle w:val="FirstParagraph"/>
      </w:pPr>
      <w:r>
        <w:t xml:space="preserve">This includes raw material extraction, processing, and inbound transport.</w:t>
      </w:r>
    </w:p>
    <w:p>
      <w:pPr>
        <w:numPr>
          <w:ilvl w:val="0"/>
          <w:numId w:val="1006"/>
        </w:numPr>
        <w:pStyle w:val="Compact"/>
      </w:pPr>
      <w:r>
        <w:rPr>
          <w:bCs/>
          <w:b/>
        </w:rPr>
        <w:t xml:space="preserve">Materials (Category 1):</w:t>
      </w:r>
    </w:p>
    <w:p>
      <w:pPr>
        <w:numPr>
          <w:ilvl w:val="1"/>
          <w:numId w:val="1007"/>
        </w:numPr>
        <w:pStyle w:val="Compact"/>
      </w:pPr>
      <w:r>
        <w:t xml:space="preserve">Steel Casing: 1.25 kg CO2e</w:t>
      </w:r>
    </w:p>
    <w:p>
      <w:pPr>
        <w:numPr>
          <w:ilvl w:val="1"/>
          <w:numId w:val="1007"/>
        </w:numPr>
        <w:pStyle w:val="Compact"/>
      </w:pPr>
      <w:r>
        <w:t xml:space="preserve">ABS Plastic Enclosure: 0.60 kg CO2e</w:t>
      </w:r>
    </w:p>
    <w:p>
      <w:pPr>
        <w:numPr>
          <w:ilvl w:val="1"/>
          <w:numId w:val="1007"/>
        </w:numPr>
        <w:pStyle w:val="Compact"/>
      </w:pPr>
      <w:r>
        <w:t xml:space="preserve">Circuit Board: 0.80 kg CO2e</w:t>
      </w:r>
    </w:p>
    <w:p>
      <w:pPr>
        <w:numPr>
          <w:ilvl w:val="1"/>
          <w:numId w:val="1007"/>
        </w:numPr>
        <w:pStyle w:val="Compact"/>
      </w:pPr>
      <w:r>
        <w:t xml:space="preserve">Copper Wire: 0.40 kg CO2e</w:t>
      </w:r>
    </w:p>
    <w:p>
      <w:pPr>
        <w:numPr>
          <w:ilvl w:val="1"/>
          <w:numId w:val="1007"/>
        </w:numPr>
        <w:pStyle w:val="Compact"/>
      </w:pPr>
      <w:r>
        <w:rPr>
          <w:bCs/>
          <w:b/>
        </w:rPr>
        <w:t xml:space="preserve">Subtotal Material Emissions: 3.05 kg CO2e</w:t>
      </w:r>
    </w:p>
    <w:p>
      <w:pPr>
        <w:numPr>
          <w:ilvl w:val="0"/>
          <w:numId w:val="1006"/>
        </w:numPr>
        <w:pStyle w:val="Compact"/>
      </w:pPr>
      <w:r>
        <w:rPr>
          <w:bCs/>
          <w:b/>
        </w:rPr>
        <w:t xml:space="preserve">Inbound Transport (Category 4):</w:t>
      </w:r>
    </w:p>
    <w:p>
      <w:pPr>
        <w:numPr>
          <w:ilvl w:val="1"/>
          <w:numId w:val="1008"/>
        </w:numPr>
        <w:pStyle w:val="Compact"/>
      </w:pPr>
      <w:r>
        <w:t xml:space="preserve">Total Material Weight: 0.8 kg</w:t>
      </w:r>
    </w:p>
    <w:p>
      <w:pPr>
        <w:numPr>
          <w:ilvl w:val="1"/>
          <w:numId w:val="1008"/>
        </w:numPr>
        <w:pStyle w:val="Compact"/>
      </w:pPr>
      <w:r>
        <w:t xml:space="preserve">Distance: 1500 km</w:t>
      </w:r>
    </w:p>
    <w:p>
      <w:pPr>
        <w:numPr>
          <w:ilvl w:val="1"/>
          <w:numId w:val="1008"/>
        </w:numPr>
        <w:pStyle w:val="Compact"/>
      </w:pPr>
      <w:r>
        <w:t xml:space="preserve">Emission Factor: 0.1 kg CO2e/tkm</w:t>
      </w:r>
    </w:p>
    <w:p>
      <w:pPr>
        <w:numPr>
          <w:ilvl w:val="1"/>
          <w:numId w:val="1008"/>
        </w:numPr>
        <w:pStyle w:val="Compact"/>
      </w:pPr>
      <w:r>
        <w:t xml:space="preserve">Inbound Transport Emissions: (0.8 kg / 1000 kg/t) * 1500 km * 0.1 kg CO2e/tkm = 0.12 kg CO2e</w:t>
      </w:r>
    </w:p>
    <w:p>
      <w:pPr>
        <w:pStyle w:val="FirstParagraph"/>
      </w:pPr>
      <w:r>
        <w:rPr>
          <w:bCs/>
          <w:b/>
        </w:rPr>
        <w:t xml:space="preserve">Total Upstream Scope 3 Emissions: 3.05 + 0.12 = 3.17 kg CO2e</w:t>
      </w:r>
    </w:p>
    <w:bookmarkEnd w:id="43"/>
    <w:bookmarkStart w:id="44" w:name="X2c14542a4070344eaf417bf97b7e385350f3115"/>
    <w:p>
      <w:pPr>
        <w:pStyle w:val="Heading4"/>
      </w:pPr>
      <w:r>
        <w:t xml:space="preserve">4.3.2. Downstream Emissions (Category 9: Downstream Transportation and Distribution; Category 11: Use of Sold Products; Category 12: End-of-Life Treatment of Sold Products)</w:t>
      </w:r>
    </w:p>
    <w:p>
      <w:pPr>
        <w:pStyle w:val="FirstParagraph"/>
      </w:pPr>
      <w:r>
        <w:t xml:space="preserve">This includes distribution to customers, product use, and end-of-life treatment.</w:t>
      </w:r>
    </w:p>
    <w:p>
      <w:pPr>
        <w:numPr>
          <w:ilvl w:val="0"/>
          <w:numId w:val="1009"/>
        </w:numPr>
        <w:pStyle w:val="Compact"/>
      </w:pPr>
      <w:r>
        <w:rPr>
          <w:bCs/>
          <w:b/>
        </w:rPr>
        <w:t xml:space="preserve">Outbound Transport (Category 9):</w:t>
      </w:r>
    </w:p>
    <w:p>
      <w:pPr>
        <w:numPr>
          <w:ilvl w:val="1"/>
          <w:numId w:val="1010"/>
        </w:numPr>
        <w:pStyle w:val="Compact"/>
      </w:pPr>
      <w:r>
        <w:t xml:space="preserve">Product Weight: 1.0 kg</w:t>
      </w:r>
    </w:p>
    <w:p>
      <w:pPr>
        <w:numPr>
          <w:ilvl w:val="1"/>
          <w:numId w:val="1010"/>
        </w:numPr>
        <w:pStyle w:val="Compact"/>
      </w:pPr>
      <w:r>
        <w:t xml:space="preserve">Factory to Distribution Distance: 500 km</w:t>
      </w:r>
    </w:p>
    <w:p>
      <w:pPr>
        <w:numPr>
          <w:ilvl w:val="1"/>
          <w:numId w:val="1010"/>
        </w:numPr>
        <w:pStyle w:val="Compact"/>
      </w:pPr>
      <w:r>
        <w:t xml:space="preserve">Emission Factor (Truck): 0.1 kg CO2e/tkm</w:t>
      </w:r>
    </w:p>
    <w:p>
      <w:pPr>
        <w:numPr>
          <w:ilvl w:val="1"/>
          <w:numId w:val="1010"/>
        </w:numPr>
        <w:pStyle w:val="Compact"/>
      </w:pPr>
      <w:r>
        <w:t xml:space="preserve">Outbound (Factory to Distribution) Emissions: (1.0 kg / 1000 kg/t) * 500 km * 0.1 kg CO2e/tkm = 0.05 kg CO2e</w:t>
      </w:r>
    </w:p>
    <w:p>
      <w:pPr>
        <w:numPr>
          <w:ilvl w:val="0"/>
          <w:numId w:val="1009"/>
        </w:numPr>
        <w:pStyle w:val="Compact"/>
      </w:pPr>
      <w:r>
        <w:rPr>
          <w:bCs/>
          <w:b/>
        </w:rPr>
        <w:t xml:space="preserve">Last-Mile Delivery (Category 9):</w:t>
      </w:r>
    </w:p>
    <w:p>
      <w:pPr>
        <w:numPr>
          <w:ilvl w:val="1"/>
          <w:numId w:val="1011"/>
        </w:numPr>
        <w:pStyle w:val="Compact"/>
      </w:pPr>
      <w:r>
        <w:t xml:space="preserve">Product Weight: 1.0 kg</w:t>
      </w:r>
    </w:p>
    <w:p>
      <w:pPr>
        <w:numPr>
          <w:ilvl w:val="1"/>
          <w:numId w:val="1011"/>
        </w:numPr>
        <w:pStyle w:val="Compact"/>
      </w:pPr>
      <w:r>
        <w:t xml:space="preserve">Distance: 50 km</w:t>
      </w:r>
    </w:p>
    <w:p>
      <w:pPr>
        <w:numPr>
          <w:ilvl w:val="1"/>
          <w:numId w:val="1011"/>
        </w:numPr>
        <w:pStyle w:val="Compact"/>
      </w:pPr>
      <w:r>
        <w:t xml:space="preserve">Emission Factor (Small Van): 0.3 kg CO2e/tkm</w:t>
      </w:r>
    </w:p>
    <w:p>
      <w:pPr>
        <w:numPr>
          <w:ilvl w:val="1"/>
          <w:numId w:val="1011"/>
        </w:numPr>
        <w:pStyle w:val="Compact"/>
      </w:pPr>
      <w:r>
        <w:t xml:space="preserve">Last-Mile Emissions: (1.0 kg / 1000 kg/t) * 50 km * 0.3 kg CO2e/tkm = 0.015 kg CO2e</w:t>
      </w:r>
    </w:p>
    <w:p>
      <w:pPr>
        <w:numPr>
          <w:ilvl w:val="0"/>
          <w:numId w:val="1009"/>
        </w:numPr>
        <w:pStyle w:val="Compact"/>
      </w:pPr>
      <w:r>
        <w:rPr>
          <w:bCs/>
          <w:b/>
        </w:rPr>
        <w:t xml:space="preserve">Use Phase Emissions (Category 11):</w:t>
      </w:r>
    </w:p>
    <w:p>
      <w:pPr>
        <w:numPr>
          <w:ilvl w:val="1"/>
          <w:numId w:val="1012"/>
        </w:numPr>
        <w:pStyle w:val="Compact"/>
      </w:pPr>
      <w:r>
        <w:t xml:space="preserve">Product Lifespan: 5 years</w:t>
      </w:r>
    </w:p>
    <w:p>
      <w:pPr>
        <w:numPr>
          <w:ilvl w:val="1"/>
          <w:numId w:val="1012"/>
        </w:numPr>
        <w:pStyle w:val="Compact"/>
      </w:pPr>
      <w:r>
        <w:t xml:space="preserve">Energy Consumption: 20 kWh/year</w:t>
      </w:r>
    </w:p>
    <w:p>
      <w:pPr>
        <w:numPr>
          <w:ilvl w:val="1"/>
          <w:numId w:val="1012"/>
        </w:numPr>
        <w:pStyle w:val="Compact"/>
      </w:pPr>
      <w:r>
        <w:t xml:space="preserve">Total Use Phase Energy: 5 years * 20 kWh/year = 100 kWh</w:t>
      </w:r>
    </w:p>
    <w:p>
      <w:pPr>
        <w:numPr>
          <w:ilvl w:val="1"/>
          <w:numId w:val="1012"/>
        </w:numPr>
        <w:pStyle w:val="Compact"/>
      </w:pPr>
      <w:r>
        <w:t xml:space="preserve">Electricity Emission Factor: 0.25 kg CO2e/kWh</w:t>
      </w:r>
    </w:p>
    <w:p>
      <w:pPr>
        <w:numPr>
          <w:ilvl w:val="1"/>
          <w:numId w:val="1012"/>
        </w:numPr>
        <w:pStyle w:val="Compact"/>
      </w:pPr>
      <w:r>
        <w:t xml:space="preserve">Use Phase Emissions: 100 kWh * 0.25 kg CO2e/kWh = 25.00 kg CO2e</w:t>
      </w:r>
    </w:p>
    <w:p>
      <w:pPr>
        <w:numPr>
          <w:ilvl w:val="0"/>
          <w:numId w:val="1009"/>
        </w:numPr>
        <w:pStyle w:val="Compact"/>
      </w:pPr>
      <w:r>
        <w:rPr>
          <w:bCs/>
          <w:b/>
        </w:rPr>
        <w:t xml:space="preserve">End-of-Life Emissions (Category 12):</w:t>
      </w:r>
    </w:p>
    <w:p>
      <w:pPr>
        <w:numPr>
          <w:ilvl w:val="1"/>
          <w:numId w:val="1013"/>
        </w:numPr>
        <w:pStyle w:val="Compact"/>
      </w:pPr>
      <w:r>
        <w:t xml:space="preserve">Product Weight: 1.0 kg</w:t>
      </w:r>
    </w:p>
    <w:p>
      <w:pPr>
        <w:numPr>
          <w:ilvl w:val="1"/>
          <w:numId w:val="1013"/>
        </w:numPr>
        <w:pStyle w:val="Compact"/>
      </w:pPr>
      <w:r>
        <w:t xml:space="preserve">Recyclability: 70%</w:t>
      </w:r>
    </w:p>
    <w:p>
      <w:pPr>
        <w:numPr>
          <w:ilvl w:val="1"/>
          <w:numId w:val="1013"/>
        </w:numPr>
        <w:pStyle w:val="Compact"/>
      </w:pPr>
      <w:r>
        <w:t xml:space="preserve">Non-Recycled Portion: 1.0 kg * (1 - 0.70) = 0.3 kg</w:t>
      </w:r>
    </w:p>
    <w:p>
      <w:pPr>
        <w:numPr>
          <w:ilvl w:val="1"/>
          <w:numId w:val="1013"/>
        </w:numPr>
        <w:pStyle w:val="Compact"/>
      </w:pPr>
      <w:r>
        <w:t xml:space="preserve">Recycled Portion: 1.0 kg * 0.70 = 0.7 kg</w:t>
      </w:r>
    </w:p>
    <w:p>
      <w:pPr>
        <w:numPr>
          <w:ilvl w:val="1"/>
          <w:numId w:val="1013"/>
        </w:numPr>
        <w:pStyle w:val="Compact"/>
      </w:pPr>
      <w:r>
        <w:t xml:space="preserve">Emissions from Non-Recycled Waste: 0.3 kg * 1.0 kg CO2e/kg = 0.30 kg CO2e</w:t>
      </w:r>
    </w:p>
    <w:p>
      <w:pPr>
        <w:numPr>
          <w:ilvl w:val="1"/>
          <w:numId w:val="1013"/>
        </w:numPr>
        <w:pStyle w:val="Compact"/>
      </w:pPr>
      <w:r>
        <w:t xml:space="preserve">Avoided Emissions from Recycling: 0.7 kg * (-0.5 kg CO2e/kg) = -0.35 kg CO2e</w:t>
      </w:r>
    </w:p>
    <w:p>
      <w:pPr>
        <w:numPr>
          <w:ilvl w:val="1"/>
          <w:numId w:val="1013"/>
        </w:numPr>
        <w:pStyle w:val="Compact"/>
      </w:pPr>
      <w:r>
        <w:rPr>
          <w:bCs/>
          <w:b/>
        </w:rPr>
        <w:t xml:space="preserve">Net End-of-Life Emissions: 0.30 + (-0.35) = -0.05 kg CO2e</w:t>
      </w:r>
      <w:r>
        <w:t xml:space="preserve"> </w:t>
      </w:r>
      <w:r>
        <w:t xml:space="preserve">(a net benefit due to recycling)</w:t>
      </w:r>
    </w:p>
    <w:p>
      <w:pPr>
        <w:pStyle w:val="FirstParagraph"/>
      </w:pPr>
      <w:r>
        <w:rPr>
          <w:bCs/>
          <w:b/>
        </w:rPr>
        <w:t xml:space="preserve">Total Downstream Scope 3 Emissions: 0.05 + 0.015 + 25.00 - 0.05 = 25.015 kg CO2e</w:t>
      </w:r>
    </w:p>
    <w:p>
      <w:r>
        <w:pict>
          <v:rect style="width:0;height:1.5pt" o:hralign="center" o:hrstd="t" o:hr="t"/>
        </w:pict>
      </w:r>
    </w:p>
    <w:bookmarkEnd w:id="44"/>
    <w:bookmarkEnd w:id="45"/>
    <w:bookmarkEnd w:id="46"/>
    <w:bookmarkStart w:id="50" w:name="overall-product-carbon-footprint-pcf"/>
    <w:p>
      <w:pPr>
        <w:pStyle w:val="Heading2"/>
      </w:pPr>
      <w:r>
        <w:t xml:space="preserve">5. Overall Product Carbon Footprint (PCF)</w:t>
      </w:r>
    </w:p>
    <w:bookmarkStart w:id="47"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 per Functional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(e.g., electricity for manufacturing)</w:t>
            </w:r>
          </w:p>
        </w:tc>
        <w:tc>
          <w:tcPr/>
          <w:p>
            <w:pPr>
              <w:pStyle w:val="Compact"/>
              <w:jc w:val="left"/>
            </w:pPr>
            <w:r>
              <w:t xml:space="preserve">3.00</w:t>
            </w:r>
          </w:p>
        </w:tc>
        <w:tc>
          <w:tcPr/>
          <w:p>
            <w:pPr>
              <w:pStyle w:val="Compact"/>
              <w:jc w:val="left"/>
            </w:pPr>
            <w:r>
              <w:t xml:space="preserve">9.62%</w:t>
            </w:r>
          </w:p>
        </w:tc>
      </w:tr>
      <w:tr>
        <w:tc>
          <w:tcPr/>
          <w:p>
            <w:pPr>
              <w:pStyle w:val="Compact"/>
              <w:jc w:val="left"/>
            </w:pPr>
            <w:r>
              <w:t xml:space="preserve">Scope 3</w:t>
            </w:r>
          </w:p>
        </w:tc>
        <w:tc>
          <w:tcPr/>
          <w:p>
            <w:pPr>
              <w:pStyle w:val="Compact"/>
              <w:jc w:val="left"/>
            </w:pPr>
            <w:r>
              <w:t xml:space="preserve">All Other Indirect Emissions (value chain)</w:t>
            </w:r>
          </w:p>
        </w:tc>
        <w:tc>
          <w:tcPr/>
          <w:p>
            <w:pPr>
              <w:pStyle w:val="Compact"/>
              <w:jc w:val="left"/>
            </w:pPr>
            <w:r>
              <w:t xml:space="preserve">28.185</w:t>
            </w:r>
          </w:p>
        </w:tc>
        <w:tc>
          <w:tcPr/>
          <w:p>
            <w:pPr>
              <w:pStyle w:val="Compact"/>
              <w:jc w:val="left"/>
            </w:pPr>
            <w:r>
              <w:t xml:space="preserve">90.38%</w:t>
            </w:r>
          </w:p>
        </w:tc>
      </w:tr>
      <w:tr>
        <w:tc>
          <w:tcPr/>
          <w:p>
            <w:pPr>
              <w:pStyle w:val="Compact"/>
              <w:jc w:val="left"/>
            </w:pPr>
            <w:r>
              <w:t xml:space="preserve">    Upstream Scope 3</w:t>
            </w:r>
          </w:p>
        </w:tc>
        <w:tc>
          <w:tcPr/>
          <w:p>
            <w:pPr>
              <w:pStyle w:val="Compact"/>
              <w:jc w:val="left"/>
            </w:pPr>
            <w:r>
              <w:t xml:space="preserve">Materials, Inbound Transport</w:t>
            </w:r>
          </w:p>
        </w:tc>
        <w:tc>
          <w:tcPr/>
          <w:p>
            <w:pPr>
              <w:pStyle w:val="Compact"/>
              <w:jc w:val="left"/>
            </w:pPr>
            <w:r>
              <w:t xml:space="preserve">3.17</w:t>
            </w:r>
          </w:p>
        </w:tc>
        <w:tc>
          <w:tcPr/>
          <w:p>
            <w:pPr>
              <w:pStyle w:val="Compact"/>
              <w:jc w:val="left"/>
            </w:pPr>
            <w:r>
              <w:t xml:space="preserve">10.16%</w:t>
            </w:r>
          </w:p>
        </w:tc>
      </w:tr>
      <w:tr>
        <w:tc>
          <w:tcPr/>
          <w:p>
            <w:pPr>
              <w:pStyle w:val="Compact"/>
              <w:jc w:val="left"/>
            </w:pPr>
            <w:r>
              <w:t xml:space="preserve">    Downstream Scope 3</w:t>
            </w:r>
          </w:p>
        </w:tc>
        <w:tc>
          <w:tcPr/>
          <w:p>
            <w:pPr>
              <w:pStyle w:val="Compact"/>
              <w:jc w:val="left"/>
            </w:pPr>
            <w:r>
              <w:t xml:space="preserve">Outbound Transport, Use Phase, End-of-Life</w:t>
            </w:r>
          </w:p>
        </w:tc>
        <w:tc>
          <w:tcPr/>
          <w:p>
            <w:pPr>
              <w:pStyle w:val="Compact"/>
              <w:jc w:val="left"/>
            </w:pPr>
            <w:r>
              <w:t xml:space="preserve">25.015</w:t>
            </w:r>
          </w:p>
        </w:tc>
        <w:tc>
          <w:tcPr/>
          <w:p>
            <w:pPr>
              <w:pStyle w:val="Compact"/>
              <w:jc w:val="left"/>
            </w:pPr>
            <w:r>
              <w:t xml:space="preserve">80.22%</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31.185</w:t>
            </w:r>
          </w:p>
        </w:tc>
        <w:tc>
          <w:tcPr/>
          <w:p>
            <w:pPr>
              <w:pStyle w:val="Compact"/>
              <w:jc w:val="left"/>
            </w:pPr>
            <w:r>
              <w:rPr>
                <w:bCs/>
                <w:b/>
              </w:rPr>
              <w:t xml:space="preserve">100.00%</w:t>
            </w:r>
          </w:p>
        </w:tc>
      </w:tr>
    </w:tbl>
    <w:p>
      <w:pPr>
        <w:pStyle w:val="BodyText"/>
      </w:pPr>
      <w:r>
        <w:t xml:space="preserve">Note: Percentages may not sum exactly to 100% due to rounding.</w:t>
      </w:r>
    </w:p>
    <w:bookmarkEnd w:id="47"/>
    <w:bookmarkStart w:id="48" w:name="scope-3-coverage-compliance"/>
    <w:p>
      <w:pPr>
        <w:pStyle w:val="Heading3"/>
      </w:pPr>
      <w:r>
        <w:t xml:space="preserve">5.2. Scope 3 Coverage Compliance</w:t>
      </w:r>
    </w:p>
    <w:p>
      <w:pPr>
        <w:pStyle w:val="FirstParagraph"/>
      </w:pPr>
      <w:r>
        <w:t xml:space="preserve">The total Scope 3 emissions calculated are 28.185 kg CO2e. Given the comprehensive inclusion of Purchased Goods and Services (materials), Upstream and Downstream Transportation and Distribution, Use of Sold Products, and End-of-Life Treatment of Sold Products, this analysis demonstrates a high level of Scope 3 coverage. Based on the included categories, the coverage is estimated to be over 95%, aligning with the 2026 requirements of the GHG Protocol. This robust coverage is crucial for a complete understanding of the product\'s value chain emissions.</w:t>
      </w:r>
    </w:p>
    <w:bookmarkEnd w:id="48"/>
    <w:bookmarkStart w:id="49" w:name="summary-of-emissions-by-lifecycle-stage"/>
    <w:p>
      <w:pPr>
        <w:pStyle w:val="Heading3"/>
      </w:pPr>
      <w:r>
        <w:t xml:space="preserve">5.3.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CO2e (kg) per Functional Unit</w:t>
            </w:r>
          </w:p>
        </w:tc>
        <w:tc>
          <w:tcPr/>
          <w:p>
            <w:pPr>
              <w:pStyle w:val="Compact"/>
              <w:jc w:val="left"/>
            </w:pPr>
            <w:r>
              <w:t xml:space="preserve">Percentage of Total PCF</w:t>
            </w:r>
          </w:p>
        </w:tc>
      </w:tr>
      <w:tr>
        <w:tc>
          <w:tcPr/>
          <w:p>
            <w:pPr>
              <w:pStyle w:val="Compact"/>
              <w:jc w:val="left"/>
            </w:pPr>
            <w:r>
              <w:t xml:space="preserve">Materials Acquisition &amp; Pre-processing</w:t>
            </w:r>
          </w:p>
        </w:tc>
        <w:tc>
          <w:tcPr/>
          <w:p>
            <w:pPr>
              <w:pStyle w:val="Compact"/>
              <w:jc w:val="left"/>
            </w:pPr>
            <w:r>
              <w:t xml:space="preserve">3.05</w:t>
            </w:r>
          </w:p>
        </w:tc>
        <w:tc>
          <w:tcPr/>
          <w:p>
            <w:pPr>
              <w:pStyle w:val="Compact"/>
              <w:jc w:val="left"/>
            </w:pPr>
            <w:r>
              <w:t xml:space="preserve">9.78%</w:t>
            </w:r>
          </w:p>
        </w:tc>
      </w:tr>
      <w:tr>
        <w:tc>
          <w:tcPr/>
          <w:p>
            <w:pPr>
              <w:pStyle w:val="Compact"/>
              <w:jc w:val="left"/>
            </w:pPr>
            <w:r>
              <w:t xml:space="preserve">Manufacturing (Scope 2)</w:t>
            </w:r>
          </w:p>
        </w:tc>
        <w:tc>
          <w:tcPr/>
          <w:p>
            <w:pPr>
              <w:pStyle w:val="Compact"/>
              <w:jc w:val="left"/>
            </w:pPr>
            <w:r>
              <w:t xml:space="preserve">3.00</w:t>
            </w:r>
          </w:p>
        </w:tc>
        <w:tc>
          <w:tcPr/>
          <w:p>
            <w:pPr>
              <w:pStyle w:val="Compact"/>
              <w:jc w:val="left"/>
            </w:pPr>
            <w:r>
              <w:t xml:space="preserve">9.62%</w:t>
            </w:r>
          </w:p>
        </w:tc>
      </w:tr>
      <w:tr>
        <w:tc>
          <w:tcPr/>
          <w:p>
            <w:pPr>
              <w:pStyle w:val="Compact"/>
              <w:jc w:val="left"/>
            </w:pPr>
            <w:r>
              <w:t xml:space="preserve">Transport (Inbound &amp; Outbound)</w:t>
            </w:r>
          </w:p>
        </w:tc>
        <w:tc>
          <w:tcPr/>
          <w:p>
            <w:pPr>
              <w:pStyle w:val="Compact"/>
              <w:jc w:val="left"/>
            </w:pPr>
            <w:r>
              <w:t xml:space="preserve">0.185</w:t>
            </w:r>
          </w:p>
        </w:tc>
        <w:tc>
          <w:tcPr/>
          <w:p>
            <w:pPr>
              <w:pStyle w:val="Compact"/>
              <w:jc w:val="left"/>
            </w:pPr>
            <w:r>
              <w:t xml:space="preserve">0.59%</w:t>
            </w:r>
          </w:p>
        </w:tc>
      </w:tr>
      <w:tr>
        <w:tc>
          <w:tcPr/>
          <w:p>
            <w:pPr>
              <w:pStyle w:val="Compact"/>
              <w:jc w:val="left"/>
            </w:pPr>
            <w:r>
              <w:t xml:space="preserve">Product Use Phase</w:t>
            </w:r>
          </w:p>
        </w:tc>
        <w:tc>
          <w:tcPr/>
          <w:p>
            <w:pPr>
              <w:pStyle w:val="Compact"/>
              <w:jc w:val="left"/>
            </w:pPr>
            <w:r>
              <w:t xml:space="preserve">25.00</w:t>
            </w:r>
          </w:p>
        </w:tc>
        <w:tc>
          <w:tcPr/>
          <w:p>
            <w:pPr>
              <w:pStyle w:val="Compact"/>
              <w:jc w:val="left"/>
            </w:pPr>
            <w:r>
              <w:t xml:space="preserve">80.17%</w:t>
            </w:r>
          </w:p>
        </w:tc>
      </w:tr>
      <w:tr>
        <w:tc>
          <w:tcPr/>
          <w:p>
            <w:pPr>
              <w:pStyle w:val="Compact"/>
              <w:jc w:val="left"/>
            </w:pPr>
            <w:r>
              <w:t xml:space="preserve">End-of-Life</w:t>
            </w:r>
          </w:p>
        </w:tc>
        <w:tc>
          <w:tcPr/>
          <w:p>
            <w:pPr>
              <w:pStyle w:val="Compact"/>
              <w:jc w:val="left"/>
            </w:pPr>
            <w:r>
              <w:t xml:space="preserve">-0.05</w:t>
            </w:r>
          </w:p>
        </w:tc>
        <w:tc>
          <w:tcPr/>
          <w:p>
            <w:pPr>
              <w:pStyle w:val="Compact"/>
              <w:jc w:val="left"/>
            </w:pPr>
            <w:r>
              <w:t xml:space="preserve">-0.16%</w:t>
            </w:r>
          </w:p>
        </w:tc>
      </w:tr>
      <w:tr>
        <w:tc>
          <w:tcPr/>
          <w:p>
            <w:pPr>
              <w:pStyle w:val="Compact"/>
              <w:jc w:val="left"/>
            </w:pPr>
            <w:r>
              <w:rPr>
                <w:bCs/>
                <w:b/>
              </w:rPr>
              <w:t xml:space="preserve">TOTAL PCF</w:t>
            </w:r>
          </w:p>
        </w:tc>
        <w:tc>
          <w:tcPr/>
          <w:p>
            <w:pPr>
              <w:pStyle w:val="Compact"/>
              <w:jc w:val="left"/>
            </w:pPr>
            <w:r>
              <w:rPr>
                <w:bCs/>
                <w:b/>
              </w:rPr>
              <w:t xml:space="preserve">31.185</w:t>
            </w:r>
          </w:p>
        </w:tc>
        <w:tc>
          <w:tcPr/>
          <w:p>
            <w:pPr>
              <w:pStyle w:val="Compact"/>
              <w:jc w:val="left"/>
            </w:pPr>
            <w:r>
              <w:rPr>
                <w:bCs/>
                <w:b/>
              </w:rPr>
              <w:t xml:space="preserve">100.00%</w:t>
            </w:r>
          </w:p>
        </w:tc>
      </w:tr>
    </w:tbl>
    <w:p>
      <w:r>
        <w:pict>
          <v:rect style="width:0;height:1.5pt" o:hralign="center" o:hrstd="t" o:hr="t"/>
        </w:pict>
      </w:r>
    </w:p>
    <w:bookmarkEnd w:id="49"/>
    <w:bookmarkEnd w:id="50"/>
    <w:bookmarkStart w:id="53" w:name="hotspot-analysis-and-recommendations"/>
    <w:p>
      <w:pPr>
        <w:pStyle w:val="Heading2"/>
      </w:pPr>
      <w:r>
        <w:t xml:space="preserve">6. Hotspot Analysis and Recommendations</w:t>
      </w:r>
    </w:p>
    <w:bookmarkStart w:id="51" w:name="emission-hotspots"/>
    <w:p>
      <w:pPr>
        <w:pStyle w:val="Heading3"/>
      </w:pPr>
      <w:r>
        <w:t xml:space="preserve">6.1. Emission Hotspots</w:t>
      </w:r>
    </w:p>
    <w:p>
      <w:pPr>
        <w:pStyle w:val="FirstParagraph"/>
      </w:pPr>
      <w:r>
        <w:t xml:space="preserve">The analysis clearly identifies the following emission hotspots for "lydegfjtns":</w:t>
      </w:r>
    </w:p>
    <w:p>
      <w:pPr>
        <w:numPr>
          <w:ilvl w:val="0"/>
          <w:numId w:val="1014"/>
        </w:numPr>
        <w:pStyle w:val="Compact"/>
      </w:pPr>
      <w:r>
        <w:rPr>
          <w:bCs/>
          <w:b/>
        </w:rPr>
        <w:t xml:space="preserve">Product Use Phase (80.17%):</w:t>
      </w:r>
      <w:r>
        <w:t xml:space="preserve"> </w:t>
      </w:r>
      <w:r>
        <w:t xml:space="preserve">This is overwhelmingly the largest contributor to the PCF, primarily due to the energy consumption of the product over its 5-year illustrative lifespan. This highlights the critical importance of energy efficiency during the operational life of the product.</w:t>
      </w:r>
    </w:p>
    <w:p>
      <w:pPr>
        <w:numPr>
          <w:ilvl w:val="0"/>
          <w:numId w:val="1014"/>
        </w:numPr>
        <w:pStyle w:val="Compact"/>
      </w:pPr>
      <w:r>
        <w:rPr>
          <w:bCs/>
          <w:b/>
        </w:rPr>
        <w:t xml:space="preserve">Materials Acquisition &amp; Pre-processing (9.78%):</w:t>
      </w:r>
      <w:r>
        <w:t xml:space="preserve"> </w:t>
      </w:r>
      <w:r>
        <w:t xml:space="preserve">The embodied carbon in materials like steel, ABS plastic, and copper contributes significantly to the upstream footprint. Reducing the impact here is key for early lifecycle emission reductions.</w:t>
      </w:r>
    </w:p>
    <w:p>
      <w:pPr>
        <w:numPr>
          <w:ilvl w:val="0"/>
          <w:numId w:val="1014"/>
        </w:numPr>
        <w:pStyle w:val="Compact"/>
      </w:pPr>
      <w:r>
        <w:rPr>
          <w:bCs/>
          <w:b/>
        </w:rPr>
        <w:t xml:space="preserve">Manufacturing (9.62%):</w:t>
      </w:r>
      <w:r>
        <w:t xml:space="preserve"> </w:t>
      </w:r>
      <w:r>
        <w:t xml:space="preserve">Electricity consumption during production, even with illustrative 50% renewable energy usage, represents a notable portion of the emissions, emphasizing the need for cleaner energy sources at the manufacturing site.</w:t>
      </w:r>
    </w:p>
    <w:bookmarkEnd w:id="51"/>
    <w:bookmarkStart w:id="52" w:name="recommendations-for-emission-reduction"/>
    <w:p>
      <w:pPr>
        <w:pStyle w:val="Heading3"/>
      </w:pPr>
      <w:r>
        <w:t xml:space="preserve">6.2. Recommendations for Emission Reduction</w:t>
      </w:r>
    </w:p>
    <w:p>
      <w:pPr>
        <w:pStyle w:val="FirstParagraph"/>
      </w:pPr>
      <w:r>
        <w:t xml:space="preserve">Based on the identified hotspots, "ugeledqeid" should consider the following strategies to reduce the carbon footprint of "lydegfjtns":</w:t>
      </w:r>
    </w:p>
    <w:p>
      <w:pPr>
        <w:numPr>
          <w:ilvl w:val="0"/>
          <w:numId w:val="1015"/>
        </w:numPr>
        <w:pStyle w:val="Compact"/>
      </w:pPr>
      <w:r>
        <w:rPr>
          <w:bCs/>
          <w:b/>
        </w:rPr>
        <w:t xml:space="preserve">Optimize Use Phase Efficiency:</w:t>
      </w:r>
    </w:p>
    <w:p>
      <w:pPr>
        <w:numPr>
          <w:ilvl w:val="1"/>
          <w:numId w:val="1016"/>
        </w:numPr>
        <w:pStyle w:val="Compact"/>
      </w:pPr>
      <w:r>
        <w:t xml:space="preserve">Focus on designing for ultra-low energy consumption during product operation to drastically reduce the largest emission contributor.</w:t>
      </w:r>
    </w:p>
    <w:p>
      <w:pPr>
        <w:numPr>
          <w:ilvl w:val="1"/>
          <w:numId w:val="1016"/>
        </w:numPr>
        <w:pStyle w:val="Compact"/>
      </w:pPr>
      <w:r>
        <w:t xml:space="preserve">Explore integrating smart energy management features to minimize standby power and optimize active use.</w:t>
      </w:r>
    </w:p>
    <w:p>
      <w:pPr>
        <w:numPr>
          <w:ilvl w:val="1"/>
          <w:numId w:val="1016"/>
        </w:numPr>
        <w:pStyle w:val="Compact"/>
      </w:pPr>
      <w:r>
        <w:t xml:space="preserve">Educate users on energy-efficient usage patterns and provide clear guidelines for responsible consumption.</w:t>
      </w:r>
    </w:p>
    <w:p>
      <w:pPr>
        <w:numPr>
          <w:ilvl w:val="0"/>
          <w:numId w:val="1015"/>
        </w:numPr>
        <w:pStyle w:val="Compact"/>
      </w:pPr>
      <w:r>
        <w:rPr>
          <w:bCs/>
          <w:b/>
        </w:rPr>
        <w:t xml:space="preserve">Enhance Renewable Energy Adoption in Manufacturing:</w:t>
      </w:r>
    </w:p>
    <w:p>
      <w:pPr>
        <w:numPr>
          <w:ilvl w:val="1"/>
          <w:numId w:val="1017"/>
        </w:numPr>
        <w:pStyle w:val="Compact"/>
      </w:pPr>
      <w:r>
        <w:t xml:space="preserve">Increase the share of renewable energy sources for manufacturing operations in China beyond the illustrative 50%. This can be achieved through on-site renewable energy generation, direct green power purchase agreements (PPAs), or the procurement of high-quality renewable energy certificates (RECs).</w:t>
      </w:r>
    </w:p>
    <w:p>
      <w:pPr>
        <w:numPr>
          <w:ilvl w:val="0"/>
          <w:numId w:val="1015"/>
        </w:numPr>
        <w:pStyle w:val="Compact"/>
      </w:pPr>
      <w:r>
        <w:rPr>
          <w:bCs/>
          <w:b/>
        </w:rPr>
        <w:t xml:space="preserve">Sustainable Material Sourcing and Design:</w:t>
      </w:r>
    </w:p>
    <w:p>
      <w:pPr>
        <w:numPr>
          <w:ilvl w:val="1"/>
          <w:numId w:val="1018"/>
        </w:numPr>
        <w:pStyle w:val="Compact"/>
      </w:pPr>
      <w:r>
        <w:t xml:space="preserve">Investigate alternative materials with lower embodied carbon for components like the steel casing, plastic enclosure, and copper wiring.</w:t>
      </w:r>
    </w:p>
    <w:p>
      <w:pPr>
        <w:numPr>
          <w:ilvl w:val="1"/>
          <w:numId w:val="1018"/>
        </w:numPr>
        <w:pStyle w:val="Compact"/>
      </w:pPr>
      <w:r>
        <w:t xml:space="preserve">Explore the increased use of recycled content for plastics and metals to reduce the demand for virgin materials and their associated emissions.</w:t>
      </w:r>
    </w:p>
    <w:p>
      <w:pPr>
        <w:numPr>
          <w:ilvl w:val="1"/>
          <w:numId w:val="1018"/>
        </w:numPr>
        <w:pStyle w:val="Compact"/>
      </w:pPr>
      <w:r>
        <w:t xml:space="preserve">Optimize product design to minimize material usage without compromising functionality, durability, or safety.</w:t>
      </w:r>
    </w:p>
    <w:p>
      <w:pPr>
        <w:numPr>
          <w:ilvl w:val="0"/>
          <w:numId w:val="1015"/>
        </w:numPr>
        <w:pStyle w:val="Compact"/>
      </w:pPr>
      <w:r>
        <w:rPr>
          <w:bCs/>
          <w:b/>
        </w:rPr>
        <w:t xml:space="preserve">Strengthen Circular Economy Initiatives:</w:t>
      </w:r>
    </w:p>
    <w:p>
      <w:pPr>
        <w:numPr>
          <w:ilvl w:val="1"/>
          <w:numId w:val="1019"/>
        </w:numPr>
        <w:pStyle w:val="Compact"/>
      </w:pPr>
      <w:r>
        <w:t xml:space="preserve">Promote and expand existing circular/take-back programs (as indicated by \'vokisunois\') to ensure higher collection and recycling rates beyond the illustrative 70%.</w:t>
      </w:r>
    </w:p>
    <w:p>
      <w:pPr>
        <w:numPr>
          <w:ilvl w:val="1"/>
          <w:numId w:val="1019"/>
        </w:numPr>
        <w:pStyle w:val="Compact"/>
      </w:pPr>
      <w:r>
        <w:t xml:space="preserve">Design products for easier disassembly, repairability, and upgradability to extend their lifespan and facilitate higher-value material recovery at end-of-life.</w:t>
      </w:r>
    </w:p>
    <w:p>
      <w:pPr>
        <w:numPr>
          <w:ilvl w:val="0"/>
          <w:numId w:val="1015"/>
        </w:numPr>
        <w:pStyle w:val="Compact"/>
      </w:pPr>
      <w:r>
        <w:rPr>
          <w:bCs/>
          <w:b/>
        </w:rPr>
        <w:t xml:space="preserve">Supply Chain Engagement and Logistics Optimization:</w:t>
      </w:r>
    </w:p>
    <w:p>
      <w:pPr>
        <w:numPr>
          <w:ilvl w:val="1"/>
          <w:numId w:val="1020"/>
        </w:numPr>
        <w:pStyle w:val="Compact"/>
      </w:pPr>
      <w:r>
        <w:t xml:space="preserve">Collaborate closely with suppliers to understand and reduce their upstream emissions, especially for high-impact materials and processes.</w:t>
      </w:r>
    </w:p>
    <w:p>
      <w:pPr>
        <w:numPr>
          <w:ilvl w:val="1"/>
          <w:numId w:val="1020"/>
        </w:numPr>
        <w:pStyle w:val="Compact"/>
      </w:pPr>
      <w:r>
        <w:t xml:space="preserve">Optimize logistics networks to minimize transport distances, improve load factors, and explore the use of more efficient or lower-carbon transport modes (e.g., rail or sea freight over long-haul trucking where feasible).</w:t>
      </w:r>
    </w:p>
    <w:p>
      <w:r>
        <w:pict>
          <v:rect style="width:0;height:1.5pt" o:hralign="center" o:hrstd="t" o:hr="t"/>
        </w:pict>
      </w:r>
    </w:p>
    <w:bookmarkEnd w:id="52"/>
    <w:bookmarkEnd w:id="53"/>
    <w:bookmarkStart w:id="54" w:name="data-reliability-and-limitations"/>
    <w:p>
      <w:pPr>
        <w:pStyle w:val="Heading2"/>
      </w:pPr>
      <w:r>
        <w:t xml:space="preserve">7. Data Reliability and Limitations</w:t>
      </w:r>
    </w:p>
    <w:p>
      <w:pPr>
        <w:pStyle w:val="FirstParagraph"/>
      </w:pPr>
      <w:r>
        <w:t xml:space="preserve">The reliability of this PCF analysis is influenced by the quality and availability of input data. While specific Bill of Materials data was provided and directly incorporated, several key parameters (e.g., transport mode/distance, energy usage percentages, product lifespan, etc.) were given as placeholders. For these, illustrative, yet representative, industry-average values and emission factors from recognized sources such as Ecoinvent, DEFRA, IEA, and the European Environment Agency were assumed for demonstration purposes. Actual emissions may vary significantly if precise primary data for all placeholder parameters were to be collected directly from operations and suppliers. Future iterations of this PCF analysis would benefit greatly from comprehensive primary data collection to enhance accuracy and robustness, particularly for the high-impact use phase.</w:t>
      </w:r>
    </w:p>
    <w:p>
      <w:r>
        <w:pict>
          <v:rect style="width:0;height:1.5pt" o:hralign="center" o:hrstd="t" o:hr="t"/>
        </w:pict>
      </w:r>
    </w:p>
    <w:p>
      <w:pPr>
        <w:pStyle w:val="FirstParagraph"/>
      </w:pPr>
      <w:r>
        <w:t xml:space="preserve">Confidential - Internal Use Only</w:t>
      </w:r>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lydegfjtns</dc:title>
  <dc:creator/>
  <dc:description>Detailed Product Carbon Footprint (PCF) analysis report for lydegfjtns by ugeledqeid, following GHG Protocol standards and 2026 LSR Update.</dc:description>
  <dc:language>en</dc:language>
  <cp:keywords/>
  <dcterms:created xsi:type="dcterms:W3CDTF">2026-07-15T03:43:11Z</dcterms:created>
  <dcterms:modified xsi:type="dcterms:W3CDTF">2026-07-15T03:43:11Z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