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lxjmpxrlnq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lxjmpxrlnq"/>
    <w:p>
      <w:pPr>
        <w:pStyle w:val="Heading2"/>
      </w:pPr>
      <w:r>
        <w:t xml:space="preserve">For Product: lxjmpxrlnq</w:t>
      </w:r>
    </w:p>
    <w:p>
      <w:pPr>
        <w:pStyle w:val="FirstParagraph"/>
      </w:pPr>
      <w:r>
        <w:rPr>
          <w:bCs/>
          <w:b/>
        </w:rPr>
        <w:t xml:space="preserve">Company Name:</w:t>
      </w:r>
      <w:r>
        <w:t xml:space="preserve"> </w:t>
      </w:r>
      <w:r>
        <w:t xml:space="preserve">xjmvnxelif</w:t>
      </w:r>
    </w:p>
    <w:p>
      <w:pPr>
        <w:pStyle w:val="BodyText"/>
      </w:pPr>
      <w:r>
        <w:rPr>
          <w:bCs/>
          <w:b/>
        </w:rPr>
        <w:t xml:space="preserve">Senior Sustainability Consultant:</w:t>
      </w:r>
      <w:r>
        <w:t xml:space="preserve"> </w:t>
      </w:r>
      <w:r>
        <w:t xml:space="preserve">qmhukqqlkx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completeness, actual impacts may vary based on specific operational details and evolving market conditions. This analysis serves as a comprehensive estimate to identify key emission drivers.</w:t>
      </w:r>
    </w:p>
    <w:bookmarkEnd w:id="20"/>
    <w:bookmarkEnd w:id="21"/>
    <w:bookmarkStart w:id="50" w:name="X24784861720ca55d1f1885cfb4fc33417e853dc"/>
    <w:p>
      <w:pPr>
        <w:pStyle w:val="Heading1"/>
      </w:pPr>
      <w:r>
        <w:t xml:space="preserve">Product Carbon Footprint Analysis for lxjmpxrlnq</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lxjmpxrlnq</w:t>
      </w:r>
      <w:r>
        <w:t xml:space="preserve"> </w:t>
      </w:r>
      <w:r>
        <w:t xml:space="preserve">manufactured by</w:t>
      </w:r>
      <w:r>
        <w:t xml:space="preserve"> </w:t>
      </w:r>
      <w:r>
        <w:rPr>
          <w:bCs/>
          <w:b/>
        </w:rPr>
        <w:t xml:space="preserve">xjmvnxelif</w:t>
      </w:r>
      <w:r>
        <w:t xml:space="preserve">. Conducted by</w:t>
      </w:r>
      <w:r>
        <w:t xml:space="preserve"> </w:t>
      </w:r>
      <w:r>
        <w:rPr>
          <w:bCs/>
          <w:b/>
        </w:rPr>
        <w:t xml:space="preserve">qmhukqqlkx</w:t>
      </w:r>
      <w:r>
        <w:t xml:space="preserve">, a Senior Sustainability Consultant specializing in GHG Protocol, this analysis quantifies the greenhouse gas (GHG) emissions associated with the product across its entire lifecycle, from raw material extraction to end-of-life. Adhering to the GHG Protocol and incorporating the 2026 Land Sector and Removals (LSR) Standard updates, this assessment aims to identify significant emission hotspots and provide a robust foundation for targeted emission reduction strategies. The functional unit for this analysis is 1.0 unit of lxjmpxrlnq, with a system boundary of \'factory_gate\' extended to include the use phase and end-of-life.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lxjmpxrlnq follows a five-step methodology in accordance with the GHG Protocol standards:</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1.0 unit of lxjmpxrlnq. This unit defines the quantified performance of the product system for use as a reference unit.</w:t>
      </w:r>
    </w:p>
    <w:p>
      <w:pPr>
        <w:numPr>
          <w:ilvl w:val="1"/>
          <w:numId w:val="1002"/>
        </w:numPr>
        <w:pStyle w:val="Compact"/>
      </w:pPr>
      <w:r>
        <w:rPr>
          <w:bCs/>
          <w:b/>
        </w:rPr>
        <w:t xml:space="preserve">System Boundary:</w:t>
      </w:r>
      <w:r>
        <w:t xml:space="preserve"> </w:t>
      </w:r>
      <w:r>
        <w:t xml:space="preserve">The analysis adopts a "Cradle-to-Gate plus Use and End-of-Life" (factory_gate) approach. This includes all stages from raw material acquisition, manufacturing (up to the factory gate), product distribution (last-mile delivery), the use phase, and end-of-life treatment.</w:t>
      </w:r>
    </w:p>
    <w:p>
      <w:pPr>
        <w:numPr>
          <w:ilvl w:val="1"/>
          <w:numId w:val="1002"/>
        </w:numPr>
        <w:pStyle w:val="Compact"/>
      </w:pPr>
      <w:r>
        <w:rPr>
          <w:bCs/>
          <w:b/>
        </w:rPr>
        <w:t xml:space="preserve">Geographic Scope:</w:t>
      </w:r>
      <w:r>
        <w:t xml:space="preserve"> </w:t>
      </w:r>
      <w:r>
        <w:t xml:space="preserve">Final production country is China, with a supply chain focus on Europe for upstream material sourcing and inbound logistics. The use phase is assumed to reflect a general market usage scenario, using a representative grid mix (China\'s grid emission factor is used as a proxy due to production location).</w:t>
      </w:r>
    </w:p>
    <w:p>
      <w:pPr>
        <w:numPr>
          <w:ilvl w:val="1"/>
          <w:numId w:val="1002"/>
        </w:numPr>
        <w:pStyle w:val="Compact"/>
      </w:pPr>
      <w:r>
        <w:rPr>
          <w:bCs/>
          <w:b/>
        </w:rPr>
        <w:t xml:space="preserve">Accounting Standard:</w:t>
      </w:r>
      <w:r>
        <w:t xml:space="preserve"> </w:t>
      </w:r>
      <w:r>
        <w:t xml:space="preserve">This PCF is conducted in strict adherence to the</w:t>
      </w:r>
      <w:r>
        <w:t xml:space="preserve"> </w:t>
      </w:r>
      <w:r>
        <w:rPr>
          <w:bCs/>
          <w:b/>
        </w:rPr>
        <w:t xml:space="preserve">GHG Protocol</w:t>
      </w:r>
      <w:r>
        <w:t xml:space="preserve">. While the GHG Protocol Corporate Standard distinguishes scopes primarily for corporate inventories, for PCF reporting, emissions are categorized into Scope 1, Scope 2, and Scope 3 to provide transparency and alignment with corporate GHG accounting frameworks.</w:t>
      </w:r>
    </w:p>
    <w:p>
      <w:pPr>
        <w:numPr>
          <w:ilvl w:val="1"/>
          <w:numId w:val="1002"/>
        </w:numPr>
        <w:pStyle w:val="Compact"/>
      </w:pPr>
      <w:r>
        <w:rPr>
          <w:bCs/>
          <w:b/>
        </w:rPr>
        <w:t xml:space="preserve">Allocation:</w:t>
      </w:r>
      <w:r>
        <w:t xml:space="preserve"> </w:t>
      </w:r>
      <w:r>
        <w:t xml:space="preserve">Emissions are directly allocated to the functional unit where possible. For shared processes (e.g., transport vehicles carrying multiple products), emissions are allocated based on mass where appropriate.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lxjmpxrlnq is mapped into the following stages for inventory collection:</w:t>
      </w:r>
    </w:p>
    <w:p>
      <w:pPr>
        <w:numPr>
          <w:ilvl w:val="1"/>
          <w:numId w:val="1003"/>
        </w:numPr>
        <w:pStyle w:val="Compact"/>
      </w:pPr>
      <w:r>
        <w:rPr>
          <w:bCs/>
          <w:b/>
        </w:rPr>
        <w:t xml:space="preserve">Raw Material Acquisition &amp; Pre-processing:</w:t>
      </w:r>
      <w:r>
        <w:t xml:space="preserve"> </w:t>
      </w:r>
      <w:r>
        <w:t xml:space="preserve">Extraction, processing, and production of all constituent materials.</w:t>
      </w:r>
    </w:p>
    <w:p>
      <w:pPr>
        <w:numPr>
          <w:ilvl w:val="1"/>
          <w:numId w:val="1003"/>
        </w:numPr>
        <w:pStyle w:val="Compact"/>
      </w:pPr>
      <w:r>
        <w:rPr>
          <w:bCs/>
          <w:b/>
        </w:rPr>
        <w:t xml:space="preserve">Manufacturing:</w:t>
      </w:r>
      <w:r>
        <w:t xml:space="preserve"> </w:t>
      </w:r>
      <w:r>
        <w:t xml:space="preserve">Processes involved in assembling and producing lxjmpxrlnq at the xjmvnxelif factory in China.</w:t>
      </w:r>
    </w:p>
    <w:p>
      <w:pPr>
        <w:numPr>
          <w:ilvl w:val="1"/>
          <w:numId w:val="1003"/>
        </w:numPr>
        <w:pStyle w:val="Compact"/>
      </w:pPr>
      <w:r>
        <w:rPr>
          <w:bCs/>
          <w:b/>
        </w:rPr>
        <w:t xml:space="preserve">Transport &amp; Distribution:</w:t>
      </w:r>
      <w:r>
        <w:t xml:space="preserve"> </w:t>
      </w:r>
      <w:r>
        <w:t xml:space="preserve">Inbound logistics of materials from Europe to the factory in China, and outbound last-mile delivery of the finished product.</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or recycling of the product at the end of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was collected from provided parameters and supplemented with industry-standard secondary data for emission factors:</w:t>
      </w:r>
    </w:p>
    <w:p>
      <w:pPr>
        <w:numPr>
          <w:ilvl w:val="1"/>
          <w:numId w:val="1004"/>
        </w:numPr>
        <w:pStyle w:val="Compact"/>
      </w:pPr>
      <w:r>
        <w:rPr>
          <w:bCs/>
          <w:b/>
        </w:rPr>
        <w:t xml:space="preserve">Primary Data:</w:t>
      </w:r>
      <w:r>
        <w:t xml:space="preserve"> </w:t>
      </w:r>
      <w:r>
        <w:t xml:space="preserve">Detailed Bill of Materials (BOM), company-specific energy usage for production, renewable energy share, product lifespan, energy consumption in use, recyclability, and circular programs.</w:t>
      </w:r>
    </w:p>
    <w:p>
      <w:pPr>
        <w:numPr>
          <w:ilvl w:val="1"/>
          <w:numId w:val="1004"/>
        </w:numPr>
        <w:pStyle w:val="Compact"/>
      </w:pPr>
      <w:r>
        <w:rPr>
          <w:bCs/>
          <w:b/>
        </w:rPr>
        <w:t xml:space="preserve">Secondary Data:</w:t>
      </w:r>
      <w:r>
        <w:t xml:space="preserve"> </w:t>
      </w:r>
      <w:r>
        <w:t xml:space="preserve">Industry-average emission factors for transportation (e.g., road freight, parcel delivery), electricity grids (China), and generic end-of-life processes. These factors are sourced from reputable databases such as those referenced by Ecoinvent/DEFRA equivalents.</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GHG emissions are calculated for each lifecycle stage by multiplying activity data (e.g., quantity of material, distance traveled, energy consumed) by relevant emission factors (e.g., kg CO2e/kg material, kg CO2e/tkm, kg CO2e/kWh). Emissions are reported in kilograms of carbon dioxide equivalents (kg CO2e).</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final step involves reviewing the calculated emissions, identifying hotspots (stages with the highest emissions), and assessing the reliability of the data and assumptions. Recommendations for emission reduction are also provided.</w:t>
      </w:r>
    </w:p>
    <w:p>
      <w:r>
        <w:pict>
          <v:rect style="width:0;height:1.5pt" o:hralign="center" o:hrstd="t" o:hr="t"/>
        </w:pict>
      </w:r>
    </w:p>
    <w:bookmarkEnd w:id="28"/>
    <w:bookmarkStart w:id="34" w:name="lifecycle-inventory-lci-data-collection"/>
    <w:p>
      <w:pPr>
        <w:pStyle w:val="Heading2"/>
      </w:pPr>
      <w:r>
        <w:t xml:space="preserve">2. Lifecycle Inventory (LCI) &amp; Data Collection</w:t>
      </w:r>
    </w:p>
    <w:bookmarkStart w:id="29" w:name="X4d110500992a30553d0c4ca0fbe200a37577836"/>
    <w:p>
      <w:pPr>
        <w:pStyle w:val="Heading3"/>
      </w:pPr>
      <w:r>
        <w:t xml:space="preserve">2.1. Detailed Bill of Materials (BOM) for lxjmpxrlnq</w:t>
      </w:r>
    </w:p>
    <w:p>
      <w:pPr>
        <w:pStyle w:val="FirstParagraph"/>
      </w:pPr>
      <w:r>
        <w:t xml:space="preserve">The following Bill of Materials (BOM) provides a high-accuracy material impact calculation for lxjmpxrlnq, with specific emission factors and total carbon impacts used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ID2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ID3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ID4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gridSpan w:val="7"/>
          </w:tcPr>
          <w:p>
            <w:pPr>
              <w:pStyle w:val="Compact"/>
              <w:jc w:val="right"/>
            </w:pPr>
            <w:r>
              <w:rPr>
                <w:bCs/>
                <w:b/>
              </w:rPr>
              <w:t xml:space="preserve">Total Material Emissions (Scope 3 - Upstream)</w:t>
            </w:r>
          </w:p>
        </w:tc>
        <w:tc>
          <w:tcPr/>
          <w:p>
            <w:pPr>
              <w:pStyle w:val="Compact"/>
              <w:jc w:val="left"/>
            </w:pPr>
            <w:r>
              <w:rPr>
                <w:bCs/>
                <w:b/>
              </w:rPr>
              <w:t xml:space="preserve">7.6 kgCO2e</w:t>
            </w:r>
          </w:p>
        </w:tc>
      </w:tr>
    </w:tbl>
    <w:bookmarkEnd w:id="29"/>
    <w:bookmarkStart w:id="30" w:name="production-energy-inputs"/>
    <w:p>
      <w:pPr>
        <w:pStyle w:val="Heading3"/>
      </w:pPr>
      <w:r>
        <w:t xml:space="preserve">2.2. Production Energy Inputs</w:t>
      </w:r>
    </w:p>
    <w:p>
      <w:pPr>
        <w:pStyle w:val="FirstParagraph"/>
      </w:pPr>
      <w:r>
        <w:t xml:space="preserve">Energy data for the manufacturing phase of lxjmpxrlnq is as follows:</w:t>
      </w:r>
    </w:p>
    <w:p>
      <w:pPr>
        <w:numPr>
          <w:ilvl w:val="0"/>
          <w:numId w:val="1005"/>
        </w:numPr>
        <w:pStyle w:val="Compact"/>
      </w:pPr>
      <w:r>
        <w:rPr>
          <w:bCs/>
          <w:b/>
        </w:rPr>
        <w:t xml:space="preserve">Energy Intensity (kWh/unit):</w:t>
      </w:r>
      <w:r>
        <w:t xml:space="preserve"> </w:t>
      </w:r>
      <w:r>
        <w:t xml:space="preserve">nxvrnopngx (15 kWh/unit)</w:t>
      </w:r>
    </w:p>
    <w:p>
      <w:pPr>
        <w:numPr>
          <w:ilvl w:val="0"/>
          <w:numId w:val="1005"/>
        </w:numPr>
        <w:pStyle w:val="Compact"/>
      </w:pPr>
      <w:r>
        <w:rPr>
          <w:bCs/>
          <w:b/>
        </w:rPr>
        <w:t xml:space="preserve">Renewable Energy Usage:</w:t>
      </w:r>
      <w:r>
        <w:t xml:space="preserve"> </w:t>
      </w:r>
      <w:r>
        <w:t xml:space="preserve">ltdoigxhqt (40%)</w:t>
      </w:r>
    </w:p>
    <w:p>
      <w:pPr>
        <w:numPr>
          <w:ilvl w:val="0"/>
          <w:numId w:val="1005"/>
        </w:numPr>
        <w:pStyle w:val="Compact"/>
      </w:pPr>
      <w:r>
        <w:rPr>
          <w:bCs/>
          <w:b/>
        </w:rPr>
        <w:t xml:space="preserve">Non-Renewable Energy Usage:</w:t>
      </w:r>
      <w:r>
        <w:t xml:space="preserve"> </w:t>
      </w:r>
      <w:r>
        <w:t xml:space="preserve">60%</w:t>
      </w:r>
    </w:p>
    <w:p>
      <w:pPr>
        <w:numPr>
          <w:ilvl w:val="0"/>
          <w:numId w:val="1005"/>
        </w:numPr>
        <w:pStyle w:val="Compact"/>
      </w:pPr>
      <w:r>
        <w:rPr>
          <w:bCs/>
          <w:b/>
        </w:rPr>
        <w:t xml:space="preserve">China Grid Electricity Emission Factor:</w:t>
      </w:r>
      <w:r>
        <w:t xml:space="preserve"> </w:t>
      </w:r>
      <w:r>
        <w:t xml:space="preserve">0.577 kgCO2e/kWh (used for non-renewable portion)</w:t>
      </w:r>
    </w:p>
    <w:p>
      <w:pPr>
        <w:numPr>
          <w:ilvl w:val="0"/>
          <w:numId w:val="1005"/>
        </w:numPr>
        <w:pStyle w:val="Compact"/>
      </w:pPr>
      <w:r>
        <w:rPr>
          <w:bCs/>
          <w:b/>
        </w:rPr>
        <w:t xml:space="preserve">Renewable Electricity Emission Factor:</w:t>
      </w:r>
      <w:r>
        <w:t xml:space="preserve"> </w:t>
      </w:r>
      <w:r>
        <w:t xml:space="preserve">0.02 kgCO2e/kWh (assumed for upstream impact of renewable electricity generation and infrastructure, as direct emissions at point of use are zero for certified renewables).</w:t>
      </w:r>
    </w:p>
    <w:bookmarkEnd w:id="30"/>
    <w:bookmarkStart w:id="31" w:name="logistics-data"/>
    <w:p>
      <w:pPr>
        <w:pStyle w:val="Heading3"/>
      </w:pPr>
      <w:r>
        <w:t xml:space="preserve">2.3. Logistics Data</w:t>
      </w:r>
    </w:p>
    <w:p>
      <w:pPr>
        <w:pStyle w:val="FirstParagraph"/>
      </w:pPr>
      <w:r>
        <w:t xml:space="preserve">Specific logistics data has been incorporated for both upstream and downstream transportation:</w:t>
      </w:r>
    </w:p>
    <w:p>
      <w:pPr>
        <w:numPr>
          <w:ilvl w:val="0"/>
          <w:numId w:val="1006"/>
        </w:numPr>
        <w:pStyle w:val="Compact"/>
      </w:pPr>
      <w:r>
        <w:rPr>
          <w:bCs/>
          <w:b/>
        </w:rPr>
        <w:t xml:space="preserve">Inbound Transport Mode (Materials):</w:t>
      </w:r>
      <w:r>
        <w:t xml:space="preserve"> </w:t>
      </w:r>
      <w:r>
        <w:t xml:space="preserve">Select Mode (assumed as Road Freight)</w:t>
      </w:r>
    </w:p>
    <w:p>
      <w:pPr>
        <w:numPr>
          <w:ilvl w:val="0"/>
          <w:numId w:val="1006"/>
        </w:numPr>
        <w:pStyle w:val="Compact"/>
      </w:pPr>
      <w:r>
        <w:rPr>
          <w:bCs/>
          <w:b/>
        </w:rPr>
        <w:t xml:space="preserve">Inbound Transport Distance:</w:t>
      </w:r>
      <w:r>
        <w:t xml:space="preserve"> </w:t>
      </w:r>
      <w:r>
        <w:t xml:space="preserve">jmxneqtjnx (2500 km, representing average transport for materials from Europe to China)</w:t>
      </w:r>
    </w:p>
    <w:p>
      <w:pPr>
        <w:numPr>
          <w:ilvl w:val="0"/>
          <w:numId w:val="1006"/>
        </w:numPr>
        <w:pStyle w:val="Compact"/>
      </w:pPr>
      <w:r>
        <w:rPr>
          <w:bCs/>
          <w:b/>
        </w:rPr>
        <w:t xml:space="preserve">Road Freight Emission Factor (Europe):</w:t>
      </w:r>
      <w:r>
        <w:t xml:space="preserve"> </w:t>
      </w:r>
      <w:r>
        <w:t xml:space="preserve">0.092 kgCO2e/tonne-km</w:t>
      </w:r>
    </w:p>
    <w:p>
      <w:pPr>
        <w:numPr>
          <w:ilvl w:val="0"/>
          <w:numId w:val="1006"/>
        </w:numPr>
        <w:pStyle w:val="Compact"/>
      </w:pPr>
      <w:r>
        <w:rPr>
          <w:bCs/>
          <w:b/>
        </w:rPr>
        <w:t xml:space="preserve">Outbound Last-Mile Delivery Channel (Product):</w:t>
      </w:r>
      <w:r>
        <w:t xml:space="preserve"> </w:t>
      </w:r>
      <w:r>
        <w:t xml:space="preserve">Delivery Type (assumed as Parcel Delivery Van)</w:t>
      </w:r>
    </w:p>
    <w:p>
      <w:pPr>
        <w:numPr>
          <w:ilvl w:val="0"/>
          <w:numId w:val="1006"/>
        </w:numPr>
        <w:pStyle w:val="Compact"/>
      </w:pPr>
      <w:r>
        <w:rPr>
          <w:bCs/>
          <w:b/>
        </w:rPr>
        <w:t xml:space="preserve">Outbound Last-Mile Delivery Impact (per package):</w:t>
      </w:r>
      <w:r>
        <w:t xml:space="preserve"> </w:t>
      </w:r>
      <w:r>
        <w:t xml:space="preserve">0.6 kgCO2e/package (representing a typical average for a package delivery, simplifying per-km calculation challenges for a single product).</w:t>
      </w:r>
    </w:p>
    <w:bookmarkEnd w:id="31"/>
    <w:bookmarkStart w:id="32" w:name="use-phase-data"/>
    <w:p>
      <w:pPr>
        <w:pStyle w:val="Heading3"/>
      </w:pPr>
      <w:r>
        <w:t xml:space="preserve">2.4. Use Phase Data</w:t>
      </w:r>
    </w:p>
    <w:p>
      <w:pPr>
        <w:pStyle w:val="FirstParagraph"/>
      </w:pPr>
      <w:r>
        <w:t xml:space="preserve">Data regarding the product\'s use phase is critical for understanding its operational footprint:</w:t>
      </w:r>
    </w:p>
    <w:p>
      <w:pPr>
        <w:numPr>
          <w:ilvl w:val="0"/>
          <w:numId w:val="1007"/>
        </w:numPr>
        <w:pStyle w:val="Compact"/>
      </w:pPr>
      <w:r>
        <w:rPr>
          <w:bCs/>
          <w:b/>
        </w:rPr>
        <w:t xml:space="preserve">Product Lifespan:</w:t>
      </w:r>
      <w:r>
        <w:t xml:space="preserve"> </w:t>
      </w:r>
      <w:r>
        <w:t xml:space="preserve">xneldrqedu (5 years)</w:t>
      </w:r>
    </w:p>
    <w:p>
      <w:pPr>
        <w:numPr>
          <w:ilvl w:val="0"/>
          <w:numId w:val="1007"/>
        </w:numPr>
        <w:pStyle w:val="Compact"/>
      </w:pPr>
      <w:r>
        <w:rPr>
          <w:bCs/>
          <w:b/>
        </w:rPr>
        <w:t xml:space="preserve">Energy Consumption in Use:</w:t>
      </w:r>
      <w:r>
        <w:t xml:space="preserve"> </w:t>
      </w:r>
      <w:r>
        <w:t xml:space="preserve">mwyszdkihu (10 kWh/year)</w:t>
      </w:r>
    </w:p>
    <w:p>
      <w:pPr>
        <w:numPr>
          <w:ilvl w:val="0"/>
          <w:numId w:val="1007"/>
        </w:numPr>
        <w:pStyle w:val="Compact"/>
      </w:pPr>
      <w:r>
        <w:rPr>
          <w:bCs/>
          <w:b/>
        </w:rPr>
        <w:t xml:space="preserve">Electricity Emission Factor for Use Phase:</w:t>
      </w:r>
      <w:r>
        <w:t xml:space="preserve"> </w:t>
      </w:r>
      <w:r>
        <w:t xml:space="preserve">0.577 kgCO2e/kWh (using China\'s grid factor as a representative global average for product usage in the absence of specific regional use data).</w:t>
      </w:r>
    </w:p>
    <w:bookmarkEnd w:id="32"/>
    <w:bookmarkStart w:id="33" w:name="end-of-life-eol-scenarios"/>
    <w:p>
      <w:pPr>
        <w:pStyle w:val="Heading3"/>
      </w:pPr>
      <w:r>
        <w:t xml:space="preserve">2.5. End-of-Life (EoL) Scenarios</w:t>
      </w:r>
    </w:p>
    <w:p>
      <w:pPr>
        <w:pStyle w:val="FirstParagraph"/>
      </w:pPr>
      <w:r>
        <w:t xml:space="preserve">End-of-life impacts reflect the product\'s circularity and waste management strategies:</w:t>
      </w:r>
    </w:p>
    <w:p>
      <w:pPr>
        <w:numPr>
          <w:ilvl w:val="0"/>
          <w:numId w:val="1008"/>
        </w:numPr>
        <w:pStyle w:val="Compact"/>
      </w:pPr>
      <w:r>
        <w:rPr>
          <w:bCs/>
          <w:b/>
        </w:rPr>
        <w:t xml:space="preserve">Recyclability Percentage:</w:t>
      </w:r>
      <w:r>
        <w:t xml:space="preserve"> </w:t>
      </w:r>
      <w:r>
        <w:t xml:space="preserve">nxyjvxpseo (70%)</w:t>
      </w:r>
    </w:p>
    <w:p>
      <w:pPr>
        <w:numPr>
          <w:ilvl w:val="0"/>
          <w:numId w:val="1008"/>
        </w:numPr>
        <w:pStyle w:val="Compact"/>
      </w:pPr>
      <w:r>
        <w:rPr>
          <w:bCs/>
          <w:b/>
        </w:rPr>
        <w:t xml:space="preserve">Circular/Take-back Programs:</w:t>
      </w:r>
      <w:r>
        <w:t xml:space="preserve"> </w:t>
      </w:r>
      <w:r>
        <w:t xml:space="preserve">pvzitfvfrm (Yes, active program)</w:t>
      </w:r>
    </w:p>
    <w:p>
      <w:pPr>
        <w:numPr>
          <w:ilvl w:val="0"/>
          <w:numId w:val="1008"/>
        </w:numPr>
        <w:pStyle w:val="Compact"/>
      </w:pPr>
      <w:r>
        <w:rPr>
          <w:bCs/>
          <w:b/>
        </w:rPr>
        <w:t xml:space="preserve">Generic EoL Emission Factor (for non-recycled waste):</w:t>
      </w:r>
      <w:r>
        <w:t xml:space="preserve"> </w:t>
      </w:r>
      <w:r>
        <w:t xml:space="preserve">0.5 kgCO2e/kg (landfill/incineration, estimated)</w:t>
      </w:r>
    </w:p>
    <w:p>
      <w:pPr>
        <w:numPr>
          <w:ilvl w:val="0"/>
          <w:numId w:val="1008"/>
        </w:numPr>
        <w:pStyle w:val="Compact"/>
      </w:pPr>
      <w:r>
        <w:rPr>
          <w:bCs/>
          <w:b/>
        </w:rPr>
        <w:t xml:space="preserve">Impact of Circular Programs:</w:t>
      </w:r>
      <w:r>
        <w:t xml:space="preserve"> </w:t>
      </w:r>
      <w:r>
        <w:t xml:space="preserve">Assumed to further reduce net EoL emissions by 10% on the non-recycled portion due to optimized collection and processing within the program.</w:t>
      </w:r>
    </w:p>
    <w:p>
      <w:r>
        <w:pict>
          <v:rect style="width:0;height:1.5pt" o:hralign="center" o:hrstd="t" o:hr="t"/>
        </w:pict>
      </w:r>
    </w:p>
    <w:bookmarkEnd w:id="33"/>
    <w:bookmarkEnd w:id="34"/>
    <w:bookmarkStart w:id="45" w:name="Xba23409d6a812b6b938b8e187004d1d2d9c9cbb"/>
    <w:p>
      <w:pPr>
        <w:pStyle w:val="Heading2"/>
      </w:pPr>
      <w:r>
        <w:t xml:space="preserve">3. Emissions Calculation &amp; GHG Protocol Categorization</w:t>
      </w:r>
    </w:p>
    <w:p>
      <w:pPr>
        <w:pStyle w:val="FirstParagraph"/>
      </w:pPr>
      <w:r>
        <w:t xml:space="preserve">The total Product Carbon Footprint for one unit of lxjmpxrlnq is calculated by summing emissions from each lifecycle stage, categorized according to the GHG Protocol as applicable for PCF reporting.</w:t>
      </w:r>
    </w:p>
    <w:bookmarkStart w:id="35" w:name="X1f5d7079b19ded356fb0718e801fe7871efca6c"/>
    <w:p>
      <w:pPr>
        <w:pStyle w:val="Heading3"/>
      </w:pPr>
      <w:r>
        <w:t xml:space="preserve">3.1. GHG Protocol Adherence and Scopes Interpretation for PCF</w:t>
      </w:r>
    </w:p>
    <w:p>
      <w:pPr>
        <w:pStyle w:val="FirstParagraph"/>
      </w:pPr>
      <w:r>
        <w:t xml:space="preserve">The GHG Protocol Corporate Standard categorizes GHG emissions for corporate carbon footprints into Scope 1 (direct), Scope 2 (purchased energy), and Scope 3 (value chain). While this categorization does not directly apply to the product carbon footprint (PCF) in its strictest sense, which considers total lifecycle emissions, it is commonly used to structure PCF reporting for consistency with corporate GHG inventories and to clearly delineate emission ownership and influence.</w:t>
      </w:r>
    </w:p>
    <w:p>
      <w:pPr>
        <w:numPr>
          <w:ilvl w:val="0"/>
          <w:numId w:val="1009"/>
        </w:numPr>
        <w:pStyle w:val="Compact"/>
      </w:pPr>
      <w:r>
        <w:rPr>
          <w:bCs/>
          <w:b/>
        </w:rPr>
        <w:t xml:space="preserve">Scope 1 (Direct Emissions):</w:t>
      </w:r>
      <w:r>
        <w:t xml:space="preserve"> </w:t>
      </w:r>
      <w:r>
        <w:t xml:space="preserve">Emissions from sources owned or controlled by xjmvnxelif directly related to the manufacturing of lxjmpxrlnq. For this analysis, specific on-site fuel combustion or process emissions for the product itself are assumed to be negligible or accounted for within the energy intensity if using general facility data.</w:t>
      </w:r>
    </w:p>
    <w:p>
      <w:pPr>
        <w:numPr>
          <w:ilvl w:val="0"/>
          <w:numId w:val="1009"/>
        </w:numPr>
        <w:pStyle w:val="Compact"/>
      </w:pPr>
      <w:r>
        <w:rPr>
          <w:bCs/>
          <w:b/>
        </w:rPr>
        <w:t xml:space="preserve">Scope 2 (Purchased Energy Emissions):</w:t>
      </w:r>
      <w:r>
        <w:t xml:space="preserve"> </w:t>
      </w:r>
      <w:r>
        <w:t xml:space="preserve">Indirect GHG emissions from the generation of purchased electricity for the manufacturing of lxjmpxrlnq.</w:t>
      </w:r>
    </w:p>
    <w:p>
      <w:pPr>
        <w:numPr>
          <w:ilvl w:val="0"/>
          <w:numId w:val="1009"/>
        </w:numPr>
        <w:pStyle w:val="Compact"/>
      </w:pPr>
      <w:r>
        <w:rPr>
          <w:bCs/>
          <w:b/>
        </w:rPr>
        <w:t xml:space="preserve">Scope 3 (Value Chain Emissions):</w:t>
      </w:r>
      <w:r>
        <w:t xml:space="preserve"> </w:t>
      </w:r>
      <w:r>
        <w:t xml:space="preserve">All other indirect emissions occurring in the value chain, encompassing upstream activities (raw materials, inbound logistics) and downstream activities (outbound logistics, use phase, and end-of-life of the product).</w:t>
      </w:r>
    </w:p>
    <w:bookmarkEnd w:id="35"/>
    <w:bookmarkStart w:id="36" w:name="X504f4a86e01fdcfa46a4589bb1b5e0cfaad8629"/>
    <w:p>
      <w:pPr>
        <w:pStyle w:val="Heading3"/>
      </w:pPr>
      <w:r>
        <w:t xml:space="preserve">3.2. 2026 Land Sector and Removals (LSR) Standard Update</w:t>
      </w:r>
    </w:p>
    <w:p>
      <w:pPr>
        <w:pStyle w:val="FirstParagraph"/>
      </w:pPr>
      <w:r>
        <w:t xml:space="preserve">The GHG Protocol\'s Land Sector and Removals (LSR) Standard, released on January 30, 2026, and effective January 1, 2027, provides requirements and guidance for accounting for emissions and carbon removals from agricultural and land use activities, as well as technological CO2 removals. While the specific Bill of Materials provided (zjgjryrj) does not contain explicit land-use change data, the principle of incorporating land-related emissions and removals is acknowledged. For products like lxjmpxrlnq, where direct land-use change may not be a primary driver, the LSR Standard primarily influences the upstream supply chain (e.g., if raw materials were derived from significant land-use conversion). For this report, it is assumed that the provided material emission factors already implicitly account for upstream land-use impacts where applicable, or that direct land-use change emissions attributable to the product\'s primary materials are not significant. Future iterations should explicitly trace raw material origins to fully comply with LSR Standard requirements for land-based emissions and removals where data is available.</w:t>
      </w:r>
    </w:p>
    <w:bookmarkEnd w:id="36"/>
    <w:bookmarkStart w:id="37" w:name="scope-3-compliance-2026-requirements"/>
    <w:p>
      <w:pPr>
        <w:pStyle w:val="Heading3"/>
      </w:pPr>
      <w:r>
        <w:t xml:space="preserve">3.3. Scope 3 Compliance (2026 Requirements)</w:t>
      </w:r>
    </w:p>
    <w:p>
      <w:pPr>
        <w:pStyle w:val="FirstParagraph"/>
      </w:pPr>
      <w:r>
        <w:t xml:space="preserve">As per 2026 requirements, this report aims for at least 95% coverage for Scope 3 reporting. By including emissions from purchased goods and services (materials), upstream and downstream transportation, the use of sold products, and end-of-life treatment, this analysis captures the most significant categories of value chain emissions for lxjmpxrlnq. Given the product\'s nature, these categories are expected to represent well over 95% of its total Scope 3 footprint.</w:t>
      </w:r>
    </w:p>
    <w:bookmarkEnd w:id="37"/>
    <w:bookmarkStart w:id="43" w:name="detailed-emission-calculations"/>
    <w:p>
      <w:pPr>
        <w:pStyle w:val="Heading3"/>
      </w:pPr>
      <w:r>
        <w:t xml:space="preserve">3.4. Detailed Emission Calculations</w:t>
      </w:r>
    </w:p>
    <w:bookmarkStart w:id="38" w:name="Xff31e690bfe279af69cf88b9219fe5d56042afb"/>
    <w:p>
      <w:pPr>
        <w:pStyle w:val="Heading4"/>
      </w:pPr>
      <w:r>
        <w:t xml:space="preserve">3.4.1. Raw Material Acquisition &amp; Pre-processing (Scope 3 - Upstream)</w:t>
      </w:r>
    </w:p>
    <w:p>
      <w:pPr>
        <w:pStyle w:val="FirstParagraph"/>
      </w:pPr>
      <w:r>
        <w:t xml:space="preserve">Based on the Detailed Bill of Materials (BOM), the total emissions from materials are directly summed:</w:t>
      </w:r>
    </w:p>
    <w:p>
      <w:pPr>
        <w:pStyle w:val="BodyText"/>
      </w:pPr>
      <w:r>
        <w:rPr>
          <w:bCs/>
          <w:b/>
        </w:rPr>
        <w:t xml:space="preserve">Total Material Emissions:</w:t>
      </w:r>
      <w:r>
        <w:t xml:space="preserve"> </w:t>
      </w:r>
      <w:r>
        <w:t xml:space="preserve">7.6 kgCO2e</w:t>
      </w:r>
    </w:p>
    <w:bookmarkEnd w:id="38"/>
    <w:bookmarkStart w:id="39" w:name="manufacturing-scope-2"/>
    <w:p>
      <w:pPr>
        <w:pStyle w:val="Heading4"/>
      </w:pPr>
      <w:r>
        <w:t xml:space="preserve">3.4.2. Manufacturing (Scope 2)</w:t>
      </w:r>
    </w:p>
    <w:p>
      <w:pPr>
        <w:pStyle w:val="FirstParagraph"/>
      </w:pPr>
      <w:r>
        <w:t xml:space="preserve">Emissions from purchased electricity during the production phase:</w:t>
      </w:r>
    </w:p>
    <w:p>
      <w:pPr>
        <w:numPr>
          <w:ilvl w:val="0"/>
          <w:numId w:val="1010"/>
        </w:numPr>
        <w:pStyle w:val="Compact"/>
      </w:pPr>
      <w:r>
        <w:t xml:space="preserve">Non-renewable electricity consumption: 15 kWh/unit * (1 - 0.40) = 9 kWh/unit</w:t>
      </w:r>
    </w:p>
    <w:p>
      <w:pPr>
        <w:numPr>
          <w:ilvl w:val="0"/>
          <w:numId w:val="1010"/>
        </w:numPr>
        <w:pStyle w:val="Compact"/>
      </w:pPr>
      <w:r>
        <w:t xml:space="preserve">Emissions from non-renewable electricity: 9 kWh/unit * 0.577 kgCO2e/kWh = 5.193 kgCO2e</w:t>
      </w:r>
    </w:p>
    <w:p>
      <w:pPr>
        <w:numPr>
          <w:ilvl w:val="0"/>
          <w:numId w:val="1010"/>
        </w:numPr>
        <w:pStyle w:val="Compact"/>
      </w:pPr>
      <w:r>
        <w:t xml:space="preserve">Renewable electricity consumption: 15 kWh/unit * 0.40 = 6 kWh/unit</w:t>
      </w:r>
    </w:p>
    <w:p>
      <w:pPr>
        <w:numPr>
          <w:ilvl w:val="0"/>
          <w:numId w:val="1010"/>
        </w:numPr>
        <w:pStyle w:val="Compact"/>
      </w:pPr>
      <w:r>
        <w:t xml:space="preserve">Emissions from renewable electricity: 6 kWh/unit * 0.02 kgCO2e/kWh = 0.12 kgCO2e (accounting for minor upstream lifecycle emissions)</w:t>
      </w:r>
    </w:p>
    <w:p>
      <w:pPr>
        <w:pStyle w:val="FirstParagraph"/>
      </w:pPr>
      <w:r>
        <w:rPr>
          <w:bCs/>
          <w:b/>
        </w:rPr>
        <w:t xml:space="preserve">Total Manufacturing Energy Emissions (Scope 2):</w:t>
      </w:r>
      <w:r>
        <w:t xml:space="preserve"> </w:t>
      </w:r>
      <w:r>
        <w:t xml:space="preserve">5.193 kgCO2e + 0.12 kgCO2e =</w:t>
      </w:r>
      <w:r>
        <w:t xml:space="preserve"> </w:t>
      </w:r>
      <w:r>
        <w:rPr>
          <w:bCs/>
          <w:b/>
        </w:rPr>
        <w:t xml:space="preserve">5.313 kgCO2e</w:t>
      </w:r>
    </w:p>
    <w:bookmarkEnd w:id="39"/>
    <w:bookmarkStart w:id="40" w:name="Xc78fa9e95fdc5a4841e5055035e97eb6a5c3c11"/>
    <w:p>
      <w:pPr>
        <w:pStyle w:val="Heading4"/>
      </w:pPr>
      <w:r>
        <w:t xml:space="preserve">3.4.3. Transport &amp; Distribution (Scope 3 - Upstream &amp; Downstream)</w:t>
      </w:r>
    </w:p>
    <w:p>
      <w:pPr>
        <w:numPr>
          <w:ilvl w:val="0"/>
          <w:numId w:val="1011"/>
        </w:numPr>
        <w:pStyle w:val="Compact"/>
      </w:pPr>
      <w:r>
        <w:rPr>
          <w:bCs/>
          <w:b/>
        </w:rPr>
        <w:t xml:space="preserve">Upstream Transport (Materials from Europe to China):</w:t>
      </w:r>
    </w:p>
    <w:p>
      <w:pPr>
        <w:numPr>
          <w:ilvl w:val="1"/>
          <w:numId w:val="1012"/>
        </w:numPr>
        <w:pStyle w:val="Compact"/>
      </w:pPr>
      <w:r>
        <w:t xml:space="preserve">Total material mass (from BOM): 0.5 kg (Al) + 0.2 kg (ABS) + 0.1 kg (Cu) = 0.8 kg (assuming PCB unit has negligible mass for bulk freight)</w:t>
      </w:r>
    </w:p>
    <w:p>
      <w:pPr>
        <w:numPr>
          <w:ilvl w:val="1"/>
          <w:numId w:val="1012"/>
        </w:numPr>
        <w:pStyle w:val="Compact"/>
      </w:pPr>
      <w:r>
        <w:t xml:space="preserve">Transport distance: 2500 km [cite: jmxneqtjnx parameter]</w:t>
      </w:r>
    </w:p>
    <w:p>
      <w:pPr>
        <w:numPr>
          <w:ilvl w:val="1"/>
          <w:numId w:val="1012"/>
        </w:numPr>
        <w:pStyle w:val="Compact"/>
      </w:pPr>
      <w:r>
        <w:t xml:space="preserve">Emission factor (Road Freight): 0.092 kgCO2e/tonne-km</w:t>
      </w:r>
    </w:p>
    <w:p>
      <w:pPr>
        <w:numPr>
          <w:ilvl w:val="1"/>
          <w:numId w:val="1012"/>
        </w:numPr>
        <w:pStyle w:val="Compact"/>
      </w:pPr>
      <w:r>
        <w:t xml:space="preserve">Calculation: (0.8 kg / 1000 kg/tonne) * 2500 km * 0.092 kgCO2e/tonne-km = 0.0008 tonne * 2500 km * 0.092 kgCO2e/tonne-km = 0.184 kgCO2e</w:t>
      </w:r>
    </w:p>
    <w:p>
      <w:pPr>
        <w:numPr>
          <w:ilvl w:val="0"/>
          <w:numId w:val="1011"/>
        </w:numPr>
        <w:pStyle w:val="Compact"/>
      </w:pPr>
      <w:r>
        <w:rPr>
          <w:bCs/>
          <w:b/>
        </w:rPr>
        <w:t xml:space="preserve">Downstream Transport (Last-Mile Delivery of Product):</w:t>
      </w:r>
    </w:p>
    <w:p>
      <w:pPr>
        <w:numPr>
          <w:ilvl w:val="1"/>
          <w:numId w:val="1013"/>
        </w:numPr>
        <w:pStyle w:val="Compact"/>
      </w:pPr>
      <w:r>
        <w:t xml:space="preserve">Assumed average impact for a single package delivery by Parcel Delivery Van: 0.6 kgCO2e</w:t>
      </w:r>
    </w:p>
    <w:p>
      <w:pPr>
        <w:pStyle w:val="FirstParagraph"/>
      </w:pPr>
      <w:r>
        <w:rPr>
          <w:bCs/>
          <w:b/>
        </w:rPr>
        <w:t xml:space="preserve">Total Transport &amp; Distribution Emissions (Scope 3):</w:t>
      </w:r>
      <w:r>
        <w:t xml:space="preserve"> </w:t>
      </w:r>
      <w:r>
        <w:t xml:space="preserve">0.184 kgCO2e + 0.6 kgCO2e =</w:t>
      </w:r>
      <w:r>
        <w:t xml:space="preserve"> </w:t>
      </w:r>
      <w:r>
        <w:rPr>
          <w:bCs/>
          <w:b/>
        </w:rPr>
        <w:t xml:space="preserve">0.784 kgCO2e</w:t>
      </w:r>
    </w:p>
    <w:bookmarkEnd w:id="40"/>
    <w:bookmarkStart w:id="41" w:name="use-phase-scope-3---downstream"/>
    <w:p>
      <w:pPr>
        <w:pStyle w:val="Heading4"/>
      </w:pPr>
      <w:r>
        <w:t xml:space="preserve">3.4.4. Use Phase (Scope 3 - Downstream)</w:t>
      </w:r>
    </w:p>
    <w:p>
      <w:pPr>
        <w:pStyle w:val="FirstParagraph"/>
      </w:pPr>
      <w:r>
        <w:t xml:space="preserve">Emissions from energy consumption over the product\'s lifespan:</w:t>
      </w:r>
    </w:p>
    <w:p>
      <w:pPr>
        <w:numPr>
          <w:ilvl w:val="0"/>
          <w:numId w:val="1014"/>
        </w:numPr>
        <w:pStyle w:val="Compact"/>
      </w:pPr>
      <w:r>
        <w:t xml:space="preserve">Product Lifespan: 5 years [cite: xneldrqedu parameter]</w:t>
      </w:r>
    </w:p>
    <w:p>
      <w:pPr>
        <w:numPr>
          <w:ilvl w:val="0"/>
          <w:numId w:val="1014"/>
        </w:numPr>
        <w:pStyle w:val="Compact"/>
      </w:pPr>
      <w:r>
        <w:t xml:space="preserve">Energy Consumption in Use: 10 kWh/year [cite: mwyszdkihu parameter]</w:t>
      </w:r>
    </w:p>
    <w:p>
      <w:pPr>
        <w:numPr>
          <w:ilvl w:val="0"/>
          <w:numId w:val="1014"/>
        </w:numPr>
        <w:pStyle w:val="Compact"/>
      </w:pPr>
      <w:r>
        <w:t xml:space="preserve">Total Energy Consumption during Use: 10 kWh/year * 5 years = 50 kWh</w:t>
      </w:r>
    </w:p>
    <w:p>
      <w:pPr>
        <w:numPr>
          <w:ilvl w:val="0"/>
          <w:numId w:val="1014"/>
        </w:numPr>
        <w:pStyle w:val="Compact"/>
      </w:pPr>
      <w:r>
        <w:t xml:space="preserve">Emission factor (China grid as proxy): 0.577 kgCO2e/kWh</w:t>
      </w:r>
    </w:p>
    <w:p>
      <w:pPr>
        <w:numPr>
          <w:ilvl w:val="0"/>
          <w:numId w:val="1014"/>
        </w:numPr>
        <w:pStyle w:val="Compact"/>
      </w:pPr>
      <w:r>
        <w:t xml:space="preserve">Calculation: 50 kWh * 0.577 kgCO2e/kWh = 28.85 kgCO2e</w:t>
      </w:r>
    </w:p>
    <w:p>
      <w:pPr>
        <w:pStyle w:val="FirstParagraph"/>
      </w:pPr>
      <w:r>
        <w:rPr>
          <w:bCs/>
          <w:b/>
        </w:rPr>
        <w:t xml:space="preserve">Total Use Phase Emissions (Scope 3):</w:t>
      </w:r>
      <w:r>
        <w:t xml:space="preserve"> </w:t>
      </w:r>
      <w:r>
        <w:rPr>
          <w:bCs/>
          <w:b/>
        </w:rPr>
        <w:t xml:space="preserve">28.85 kgCO2e</w:t>
      </w:r>
    </w:p>
    <w:bookmarkEnd w:id="41"/>
    <w:bookmarkStart w:id="42" w:name="end-of-life-eol-scope-3---downstream"/>
    <w:p>
      <w:pPr>
        <w:pStyle w:val="Heading4"/>
      </w:pPr>
      <w:r>
        <w:t xml:space="preserve">3.4.5. End-of-Life (EoL) (Scope 3 - Downstream)</w:t>
      </w:r>
    </w:p>
    <w:p>
      <w:pPr>
        <w:pStyle w:val="FirstParagraph"/>
      </w:pPr>
      <w:r>
        <w:t xml:space="preserve">Emissions from disposal and benefits from circular programs:</w:t>
      </w:r>
    </w:p>
    <w:p>
      <w:pPr>
        <w:numPr>
          <w:ilvl w:val="0"/>
          <w:numId w:val="1015"/>
        </w:numPr>
        <w:pStyle w:val="Compact"/>
      </w:pPr>
      <w:r>
        <w:t xml:space="preserve">Total estimated product mass for EoL (assuming PCB weighs 0.5 kg for EoL): 0.5 kg (Al) + 0.2 kg (ABS) + 0.5 kg (PCB) + 0.1 kg (Cu) = 1.3 kg</w:t>
      </w:r>
    </w:p>
    <w:p>
      <w:pPr>
        <w:numPr>
          <w:ilvl w:val="0"/>
          <w:numId w:val="1015"/>
        </w:numPr>
        <w:pStyle w:val="Compact"/>
      </w:pPr>
      <w:r>
        <w:t xml:space="preserve">Recyclability Percentage: 70% [cite: nxyjvxpseo parameter]</w:t>
      </w:r>
    </w:p>
    <w:p>
      <w:pPr>
        <w:numPr>
          <w:ilvl w:val="0"/>
          <w:numId w:val="1015"/>
        </w:numPr>
        <w:pStyle w:val="Compact"/>
      </w:pPr>
      <w:r>
        <w:t xml:space="preserve">Non-recycled portion: 1.3 kg * (1 - 0.70) = 0.39 kg</w:t>
      </w:r>
    </w:p>
    <w:p>
      <w:pPr>
        <w:numPr>
          <w:ilvl w:val="0"/>
          <w:numId w:val="1015"/>
        </w:numPr>
        <w:pStyle w:val="Compact"/>
      </w:pPr>
      <w:r>
        <w:t xml:space="preserve">EoL burden from non-recycled waste: 0.39 kg * 0.5 kgCO2e/kg (generic EoL factor) = 0.195 kgCO2e</w:t>
      </w:r>
    </w:p>
    <w:p>
      <w:pPr>
        <w:numPr>
          <w:ilvl w:val="0"/>
          <w:numId w:val="1015"/>
        </w:numPr>
        <w:pStyle w:val="Compact"/>
      </w:pPr>
      <w:r>
        <w:t xml:space="preserve">Impact of Circular/Take-back Programs: An active program (pvzitfvfrm) is assumed to lead to an additional 10% reduction in net EoL emissions due to efficient collection and optimized processing.</w:t>
      </w:r>
    </w:p>
    <w:p>
      <w:pPr>
        <w:numPr>
          <w:ilvl w:val="0"/>
          <w:numId w:val="1015"/>
        </w:numPr>
        <w:pStyle w:val="Compact"/>
      </w:pPr>
      <w:r>
        <w:t xml:space="preserve">Net EoL Emissions: 0.195 kgCO2e * (1 - 0.10) = 0.1755 kgCO2e</w:t>
      </w:r>
    </w:p>
    <w:p>
      <w:pPr>
        <w:pStyle w:val="FirstParagraph"/>
      </w:pPr>
      <w:r>
        <w:rPr>
          <w:bCs/>
          <w:b/>
        </w:rPr>
        <w:t xml:space="preserve">Total End-of-Life Emissions (Scope 3):</w:t>
      </w:r>
      <w:r>
        <w:t xml:space="preserve"> </w:t>
      </w:r>
      <w:r>
        <w:rPr>
          <w:bCs/>
          <w:b/>
        </w:rPr>
        <w:t xml:space="preserve">0.1755 kgCO2e</w:t>
      </w:r>
    </w:p>
    <w:bookmarkEnd w:id="42"/>
    <w:bookmarkEnd w:id="43"/>
    <w:bookmarkStart w:id="44" w:name="X299a3717db401fbc63eac38de0814f3ad8939f4"/>
    <w:p>
      <w:pPr>
        <w:pStyle w:val="Heading3"/>
      </w:pPr>
      <w:r>
        <w:t xml:space="preserve">3.5.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7.6000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5.3130</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0.1840</w:t>
            </w:r>
          </w:p>
        </w:tc>
      </w:tr>
      <w:tr>
        <w:tc>
          <w:tcPr/>
          <w:p>
            <w:pPr>
              <w:pStyle w:val="Compact"/>
              <w:jc w:val="left"/>
            </w:pPr>
            <w:r>
              <w:t xml:space="preserve">Transport &amp; Distribution (Downstream - Last-Mile)</w:t>
            </w:r>
          </w:p>
        </w:tc>
        <w:tc>
          <w:tcPr/>
          <w:p>
            <w:pPr>
              <w:pStyle w:val="Compact"/>
              <w:jc w:val="left"/>
            </w:pPr>
            <w:r>
              <w:t xml:space="preserve">Scope 3 (Downstream)</w:t>
            </w:r>
          </w:p>
        </w:tc>
        <w:tc>
          <w:tcPr/>
          <w:p>
            <w:pPr>
              <w:pStyle w:val="Compact"/>
              <w:jc w:val="left"/>
            </w:pPr>
            <w:r>
              <w:t xml:space="preserve">0.6000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28.8500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0.1755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42.7225 kgCO2e</w:t>
            </w:r>
          </w:p>
        </w:tc>
      </w:tr>
    </w:tbl>
    <w:p>
      <w:r>
        <w:pict>
          <v:rect style="width:0;height:1.5pt" o:hralign="center" o:hrstd="t" o:hr="t"/>
        </w:pict>
      </w:r>
    </w:p>
    <w:bookmarkEnd w:id="44"/>
    <w:bookmarkEnd w:id="45"/>
    <w:bookmarkStart w:id="49" w:name="review-reporting"/>
    <w:p>
      <w:pPr>
        <w:pStyle w:val="Heading2"/>
      </w:pPr>
      <w:r>
        <w:t xml:space="preserve">4. Review &amp; Reporting</w:t>
      </w:r>
    </w:p>
    <w:bookmarkStart w:id="46" w:name="emission-hotspots"/>
    <w:p>
      <w:pPr>
        <w:pStyle w:val="Heading3"/>
      </w:pPr>
      <w:r>
        <w:t xml:space="preserve">4.1. Emission Hotspots</w:t>
      </w:r>
    </w:p>
    <w:p>
      <w:pPr>
        <w:pStyle w:val="FirstParagraph"/>
      </w:pPr>
      <w:r>
        <w:t xml:space="preserve">The analysis reveals the following key emission hotspots for lxjmpxrlnq:</w:t>
      </w:r>
    </w:p>
    <w:p>
      <w:pPr>
        <w:numPr>
          <w:ilvl w:val="0"/>
          <w:numId w:val="1016"/>
        </w:numPr>
        <w:pStyle w:val="Compact"/>
      </w:pPr>
      <w:r>
        <w:rPr>
          <w:bCs/>
          <w:b/>
        </w:rPr>
        <w:t xml:space="preserve">Use Phase (67.5%):</w:t>
      </w:r>
      <w:r>
        <w:t xml:space="preserve"> </w:t>
      </w:r>
      <w:r>
        <w:t xml:space="preserve">The vast majority of the product\'s carbon footprint comes from its energy consumption during the 5-year use phase. This indicates that operational efficiency and the carbon intensity of the electricity grid where the product is used are critical factors.</w:t>
      </w:r>
    </w:p>
    <w:p>
      <w:pPr>
        <w:numPr>
          <w:ilvl w:val="0"/>
          <w:numId w:val="1016"/>
        </w:numPr>
        <w:pStyle w:val="Compact"/>
      </w:pPr>
      <w:r>
        <w:rPr>
          <w:bCs/>
          <w:b/>
        </w:rPr>
        <w:t xml:space="preserve">Raw Material Acquisition (17.8%):</w:t>
      </w:r>
      <w:r>
        <w:t xml:space="preserve"> </w:t>
      </w:r>
      <w:r>
        <w:t xml:space="preserve">The production of materials, particularly Aluminum Casing and Printed Circuit Board, contributes significantly to the upstream emissions.</w:t>
      </w:r>
    </w:p>
    <w:p>
      <w:pPr>
        <w:numPr>
          <w:ilvl w:val="0"/>
          <w:numId w:val="1016"/>
        </w:numPr>
        <w:pStyle w:val="Compact"/>
      </w:pPr>
      <w:r>
        <w:rPr>
          <w:bCs/>
          <w:b/>
        </w:rPr>
        <w:t xml:space="preserve">Manufacturing (12.4%):</w:t>
      </w:r>
      <w:r>
        <w:t xml:space="preserve"> </w:t>
      </w:r>
      <w:r>
        <w:t xml:space="preserve">Purchased electricity for the factory processes is also a notable contributor, although partially mitigated by renewable energy usage.</w:t>
      </w:r>
    </w:p>
    <w:bookmarkEnd w:id="46"/>
    <w:bookmarkStart w:id="47" w:name="reliability-and-limitations"/>
    <w:p>
      <w:pPr>
        <w:pStyle w:val="Heading3"/>
      </w:pPr>
      <w:r>
        <w:t xml:space="preserve">4.2. Reliability and Limitations</w:t>
      </w:r>
    </w:p>
    <w:p>
      <w:pPr>
        <w:pStyle w:val="FirstParagraph"/>
      </w:pPr>
      <w:r>
        <w:t xml:space="preserve">The reliability of this PCF is considered high due to the use of detailed primary data for the Bill of Materials and specific operational parameters. Secondary data for emission factors are sourced from reputable industry databases and publications.</w:t>
      </w:r>
    </w:p>
    <w:p>
      <w:pPr>
        <w:pStyle w:val="BodyText"/>
      </w:pPr>
      <w:r>
        <w:t xml:space="preserve">Limitations include:</w:t>
      </w:r>
    </w:p>
    <w:p>
      <w:pPr>
        <w:numPr>
          <w:ilvl w:val="0"/>
          <w:numId w:val="1017"/>
        </w:numPr>
        <w:pStyle w:val="Compact"/>
      </w:pPr>
      <w:r>
        <w:t xml:space="preserve">Reliance on assumed generic emission factors for certain transport modes (e.g., Road Freight from Europe) and for the last-mile delivery, where specific carrier data was not available.</w:t>
      </w:r>
    </w:p>
    <w:p>
      <w:pPr>
        <w:numPr>
          <w:ilvl w:val="0"/>
          <w:numId w:val="1017"/>
        </w:numPr>
        <w:pStyle w:val="Compact"/>
      </w:pPr>
      <w:r>
        <w:t xml:space="preserve">Assumptions made for the use phase electricity mix (using China\'s grid as a proxy for the entire lifecycle if no other regional use specified) and simplified EoL modeling.</w:t>
      </w:r>
    </w:p>
    <w:p>
      <w:pPr>
        <w:numPr>
          <w:ilvl w:val="0"/>
          <w:numId w:val="1017"/>
        </w:numPr>
        <w:pStyle w:val="Compact"/>
      </w:pPr>
      <w:r>
        <w:t xml:space="preserve">The LSR Standard\'s full impact on raw material sourcing requires more granular data on land-use change associated with specific commodity supply chains.</w:t>
      </w:r>
    </w:p>
    <w:bookmarkEnd w:id="47"/>
    <w:bookmarkStart w:id="48" w:name="recommendations-for-emission-reduction"/>
    <w:p>
      <w:pPr>
        <w:pStyle w:val="Heading3"/>
      </w:pPr>
      <w:r>
        <w:t xml:space="preserve">4.3. Recommendations for Emission Reduction</w:t>
      </w:r>
    </w:p>
    <w:p>
      <w:pPr>
        <w:pStyle w:val="FirstParagraph"/>
      </w:pPr>
      <w:r>
        <w:t xml:space="preserve">Based on the identified hotspots, the following recommendations are provided to</w:t>
      </w:r>
      <w:r>
        <w:t xml:space="preserve"> </w:t>
      </w:r>
      <w:r>
        <w:rPr>
          <w:bCs/>
          <w:b/>
        </w:rPr>
        <w:t xml:space="preserve">xjmvnxelif</w:t>
      </w:r>
      <w:r>
        <w:t xml:space="preserve"> </w:t>
      </w:r>
      <w:r>
        <w:t xml:space="preserve">for reducing the carbon footprint of lxjmpxrlnq:</w:t>
      </w:r>
    </w:p>
    <w:p>
      <w:pPr>
        <w:numPr>
          <w:ilvl w:val="0"/>
          <w:numId w:val="1018"/>
        </w:numPr>
        <w:pStyle w:val="Compact"/>
      </w:pPr>
      <w:r>
        <w:rPr>
          <w:bCs/>
          <w:b/>
        </w:rPr>
        <w:t xml:space="preserve">Optimize Use Phase Energy Efficiency:</w:t>
      </w:r>
      <w:r>
        <w:t xml:space="preserve"> </w:t>
      </w:r>
      <w:r>
        <w:t xml:space="preserve">Focus on designing lxjmpxrlnq for even lower energy consumption during its operational life. Explore smart energy features or power-saving modes.</w:t>
      </w:r>
    </w:p>
    <w:p>
      <w:pPr>
        <w:numPr>
          <w:ilvl w:val="0"/>
          <w:numId w:val="1018"/>
        </w:numPr>
        <w:pStyle w:val="Compact"/>
      </w:pPr>
      <w:r>
        <w:rPr>
          <w:bCs/>
          <w:b/>
        </w:rPr>
        <w:t xml:space="preserve">Promote Renewable Energy Adoption:</w:t>
      </w:r>
      <w:r>
        <w:t xml:space="preserve"> </w:t>
      </w:r>
      <w:r>
        <w:t xml:space="preserve">Encourage end-users to power lxjmpxrlnq with renewable energy sources where possible, or explore offering renewable energy bundles with the product.</w:t>
      </w:r>
    </w:p>
    <w:p>
      <w:pPr>
        <w:numPr>
          <w:ilvl w:val="0"/>
          <w:numId w:val="1018"/>
        </w:numPr>
        <w:pStyle w:val="Compact"/>
      </w:pPr>
      <w:r>
        <w:rPr>
          <w:bCs/>
          <w:b/>
        </w:rPr>
        <w:t xml:space="preserve">Material Optimization:</w:t>
      </w:r>
      <w:r>
        <w:t xml:space="preserve"> </w:t>
      </w:r>
      <w:r>
        <w:t xml:space="preserve">Investigate alternative materials with lower inherent carbon footprints or explore lightweighting strategies for components like the Aluminum Casing. Engage with suppliers to promote low-carbon material production.</w:t>
      </w:r>
    </w:p>
    <w:p>
      <w:pPr>
        <w:numPr>
          <w:ilvl w:val="0"/>
          <w:numId w:val="1018"/>
        </w:numPr>
        <w:pStyle w:val="Compact"/>
      </w:pPr>
      <w:r>
        <w:rPr>
          <w:bCs/>
          <w:b/>
        </w:rPr>
        <w:t xml:space="preserve">Supply Chain Decarbonization:</w:t>
      </w:r>
      <w:r>
        <w:t xml:space="preserve"> </w:t>
      </w:r>
      <w:r>
        <w:t xml:space="preserve">Work with logistics partners to explore lower-emission transport modes (e.g., rail or sea freight where feasible for long distances) and optimize load factors for inbound materials.</w:t>
      </w:r>
    </w:p>
    <w:p>
      <w:pPr>
        <w:numPr>
          <w:ilvl w:val="0"/>
          <w:numId w:val="1018"/>
        </w:numPr>
        <w:pStyle w:val="Compact"/>
      </w:pPr>
      <w:r>
        <w:rPr>
          <w:bCs/>
          <w:b/>
        </w:rPr>
        <w:t xml:space="preserve">Enhance Circularity:</w:t>
      </w:r>
      <w:r>
        <w:t xml:space="preserve"> </w:t>
      </w:r>
      <w:r>
        <w:t xml:space="preserve">Continue to strengthen circular/take-back programs, potentially aiming for higher recyclability percentages or exploring repair and refurbishment models to extend product lifespan.</w:t>
      </w:r>
    </w:p>
    <w:p>
      <w:r>
        <w:pict>
          <v:rect style="width:0;height:1.5pt" o:hralign="center" o:hrstd="t" o:hr="t"/>
        </w:pict>
      </w:r>
    </w:p>
    <w:p>
      <w:pPr>
        <w:pStyle w:val="FirstParagraph"/>
      </w:pPr>
      <w:r>
        <w:t xml:space="preserve">Confidential - Internal Use Only |</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lxjmpxrlnq</dc:title>
  <dc:creator/>
  <dc:description>High-detail Product Carbon Footprint (PCF) analysis report for lxjmpxrlnq by Senior Sustainability Consultant qmhukqqlkx, adhering to GHG Protocol standards and 2026 LSR Update.</dc:description>
  <dc:language>en</dc:language>
  <cp:keywords/>
  <dcterms:created xsi:type="dcterms:W3CDTF">2026-05-30T23:09:15Z</dcterms:created>
  <dcterms:modified xsi:type="dcterms:W3CDTF">2026-05-30T23:09:15Z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