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lwgpzujwur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Name:</w:t>
      </w:r>
      <w:r>
        <w:t xml:space="preserve"> </w:t>
      </w:r>
      <w:r>
        <w:rPr>
          <w:bCs/>
          <w:b/>
        </w:rPr>
        <w:t xml:space="preserve">lwgpzujwur</w:t>
      </w:r>
    </w:p>
    <w:p>
      <w:pPr>
        <w:pStyle w:val="BodyText"/>
      </w:pPr>
      <w:r>
        <w:t xml:space="preserve">Company Name:</w:t>
      </w:r>
      <w:r>
        <w:t xml:space="preserve"> </w:t>
      </w:r>
      <w:r>
        <w:rPr>
          <w:bCs/>
          <w:b/>
        </w:rPr>
        <w:t xml:space="preserve">vwyxqtwthf</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xoeloyvelv</w:t>
      </w:r>
    </w:p>
    <w:p>
      <w:pPr>
        <w:pStyle w:val="BodyText"/>
      </w:pPr>
      <w:r>
        <w:t xml:space="preserve">Disclaimer: This report is generated based on available data and industry standards. While every effort has been made to ensure accuracy, the actual carbon footprint may vary depending on real-time operational data, specific supplier details, and the most current emission factors from primary sources. Illustrative emission factors have been used where specific Ecoinvent/DEFRA data was not directly provided or accessible.</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lwgpzujwur</w:t>
      </w:r>
    </w:p>
    <w:p>
      <w:pPr>
        <w:pStyle w:val="BodyText"/>
      </w:pPr>
      <w:r>
        <w:rPr>
          <w:bCs/>
          <w:b/>
        </w:rPr>
        <w:t xml:space="preserve">Company:</w:t>
      </w:r>
      <w:r>
        <w:t xml:space="preserve"> </w:t>
      </w:r>
      <w:r>
        <w:t xml:space="preserve">vwyxqtwthf</w:t>
      </w:r>
    </w:p>
    <w:p>
      <w:pPr>
        <w:pStyle w:val="BodyText"/>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xoeloyvelv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\'lwgpzujwur\' manufactured by vwyxqtwthf. Conducted by Senior Sustainability Consultant xoeloyvelv, this analysis strictly adheres to the GHG Protocol standards, providing a comprehensive assessment of greenhouse gas emissions across the product\'s lifecycle. The methodology encompasses defining the scope, mapping the lifecycle, collecting detailed data, calculating emissions, and reviewing findings. Key insights into material impacts, energy consumption, logistics, use phase, and end-of-life scenarios are provided, highlighting emission hotspots and areas for reduction.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foundational parameters for this Product Carbon Footprint analysis are as follows:</w:t>
      </w:r>
    </w:p>
    <w:p>
      <w:pPr>
        <w:numPr>
          <w:ilvl w:val="0"/>
          <w:numId w:val="1001"/>
        </w:numPr>
        <w:pStyle w:val="Compact"/>
      </w:pPr>
      <w:r>
        <w:rPr>
          <w:bCs/>
          <w:b/>
        </w:rPr>
        <w:t xml:space="preserve">Functional Unit:</w:t>
      </w:r>
      <w:r>
        <w:t xml:space="preserve"> </w:t>
      </w:r>
      <w:r>
        <w:t xml:space="preserve">1.0 unit of lwgpzujwur.</w:t>
      </w:r>
    </w:p>
    <w:p>
      <w:pPr>
        <w:numPr>
          <w:ilvl w:val="0"/>
          <w:numId w:val="1001"/>
        </w:numPr>
        <w:pStyle w:val="Compact"/>
      </w:pPr>
      <w:r>
        <w:rPr>
          <w:bCs/>
          <w:b/>
        </w:rPr>
        <w:t xml:space="preserve">System Boundary:</w:t>
      </w:r>
      <w:r>
        <w:t xml:space="preserve"> </w:t>
      </w:r>
      <w:r>
        <w:t xml:space="preserve">factory_gate, encompassing all processes from raw material extraction to the point the finished product leaves the manufacturing facility. This includes upstream material production, manufacturing, and inbound logistics. The analysis also extends to the use phase and end-of-life treatment to provide a holistic view.</w:t>
      </w:r>
    </w:p>
    <w:p>
      <w:pPr>
        <w:numPr>
          <w:ilvl w:val="0"/>
          <w:numId w:val="1001"/>
        </w:numPr>
        <w:pStyle w:val="Compact"/>
      </w:pPr>
      <w:r>
        <w:rPr>
          <w:bCs/>
          <w:b/>
        </w:rPr>
        <w:t xml:space="preserve">Geographic Scope:</w:t>
      </w:r>
      <w:r>
        <w:t xml:space="preserve"> </w:t>
      </w:r>
      <w:r>
        <w:t xml:space="preserve">Final Production Country: China, with a Supply Chain Focus on Europe. This dual focus allows for consideration of region-specific energy mixes and logistical routes.</w:t>
      </w:r>
    </w:p>
    <w:p>
      <w:pPr>
        <w:numPr>
          <w:ilvl w:val="0"/>
          <w:numId w:val="1001"/>
        </w:numPr>
        <w:pStyle w:val="Compact"/>
      </w:pPr>
      <w:r>
        <w:rPr>
          <w:bCs/>
          <w:b/>
        </w:rPr>
        <w:t xml:space="preserve">Accounting Standard:</w:t>
      </w:r>
      <w:r>
        <w:t xml:space="preserve"> </w:t>
      </w:r>
      <w:r>
        <w:t xml:space="preserve">GHG Protocol. This analysis strictly follows the GHG Protocol\'s Product Life Cycle Accounting and Reporting Standard, categorizing emissions into Scope 1, Scope 2, and Scope 3.</w:t>
      </w:r>
    </w:p>
    <w:p>
      <w:pPr>
        <w:numPr>
          <w:ilvl w:val="0"/>
          <w:numId w:val="1001"/>
        </w:numPr>
        <w:pStyle w:val="Compact"/>
      </w:pPr>
      <w:r>
        <w:rPr>
          <w:bCs/>
          <w:b/>
        </w:rPr>
        <w:t xml:space="preserve">Allocation:</w:t>
      </w:r>
      <w:r>
        <w:t xml:space="preserve"> </w:t>
      </w:r>
      <w:r>
        <w:t xml:space="preserve">Where multi-product systems or co-products are involved, mass allocation has been applied.</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mapping identifies key stages from raw material acquisition to end-of-life. Data collection involved utilizing the provided detailed Bill of Materials (BOM), specific logistics information, energy customization data, and end-of-life scenarios. Illustrative industry-standard emission factors (e.g., derived conceptually from Ecoinvent/DEFRA principles where specific values were not provided) have been applied for calculations, with actual BOM carbon values used directly.</w:t>
      </w:r>
    </w:p>
    <w:bookmarkStart w:id="24" w:name="Xcde9b71f4cb7291140ba980c4aecb47560b2f8f"/>
    <w:p>
      <w:pPr>
        <w:pStyle w:val="Heading3"/>
      </w:pPr>
      <w:r>
        <w:t xml:space="preserve">Detailed Bill of Materials (BOM) for lwgpzujwur</w:t>
      </w:r>
    </w:p>
    <w:p>
      <w:pPr>
        <w:pStyle w:val="FirstParagraph"/>
      </w:pPr>
      <w:r>
        <w:t xml:space="preserve">The following table details the components and their associated carbon emissions, based on the provided data. The \'Total Carbon\' values represent the embedded emissions (kgCO2e) for the quantity used in one functional unit of lwgpzujwur.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w:t>
            </w:r>
          </w:p>
        </w:tc>
      </w:tr>
      <w:tr>
        <w:tc>
          <w:tcPr/>
          <w:p>
            <w:pPr>
              <w:pStyle w:val="Compact"/>
              <w:jc w:val="left"/>
            </w:pPr>
            <w:r>
              <w:t xml:space="preserve">5</w:t>
            </w:r>
          </w:p>
        </w:tc>
        <w:tc>
          <w:tcPr/>
          <w:p>
            <w:pPr>
              <w:pStyle w:val="Compact"/>
              <w:jc w:val="left"/>
            </w:pPr>
            <w:r>
              <w:t xml:space="preserve">Wires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w:t>
            </w:r>
          </w:p>
        </w:tc>
      </w:tr>
    </w:tbl>
    <w:p>
      <w:pPr>
        <w:pStyle w:val="BodyText"/>
      </w:pPr>
      <w:r>
        <w:t xml:space="preserve">Total raw material embedded carbon (Scope 3 - Upstream):</w:t>
      </w:r>
      <w:r>
        <w:t xml:space="preserve"> </w:t>
      </w:r>
      <w:r>
        <w:rPr>
          <w:bCs/>
          <w:b/>
        </w:rPr>
        <w:t xml:space="preserve">4.975 kgCO2e</w:t>
      </w:r>
    </w:p>
    <w:p>
      <w:pPr>
        <w:pStyle w:val="BodyText"/>
      </w:pPr>
      <w:r>
        <w:t xml:space="preserve">Total product weight from BOM:</w:t>
      </w:r>
      <w:r>
        <w:t xml:space="preserve"> </w:t>
      </w:r>
      <w:r>
        <w:rPr>
          <w:bCs/>
          <w:b/>
        </w:rPr>
        <w:t xml:space="preserve">0.5 kg</w:t>
      </w:r>
    </w:p>
    <w:bookmarkEnd w:id="24"/>
    <w:bookmarkStart w:id="25" w:name="production-energy-inputs"/>
    <w:p>
      <w:pPr>
        <w:pStyle w:val="Heading3"/>
      </w:pPr>
      <w:r>
        <w:t xml:space="preserve">Production Energy Inputs</w:t>
      </w:r>
    </w:p>
    <w:p>
      <w:pPr>
        <w:pStyle w:val="FirstParagraph"/>
      </w:pPr>
      <w:r>
        <w:t xml:space="preserve">Energy consumption during the production phase is a critical component of the PCF. This analysis incorporates specified energy intensity and renewable energy usage.</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Non-renewable Electricity Share:</w:t>
      </w:r>
      <w:r>
        <w:t xml:space="preserve"> </w:t>
      </w:r>
      <w:r>
        <w:t xml:space="preserve">40% (1 - 60%)</w:t>
      </w:r>
    </w:p>
    <w:p>
      <w:pPr>
        <w:numPr>
          <w:ilvl w:val="0"/>
          <w:numId w:val="1002"/>
        </w:numPr>
        <w:pStyle w:val="Compact"/>
      </w:pPr>
      <w:r>
        <w:rPr>
          <w:bCs/>
          <w:b/>
        </w:rPr>
        <w:t xml:space="preserve">Illustrative Grid Electricity Emission Factor:</w:t>
      </w:r>
      <w:r>
        <w:t xml:space="preserve"> </w:t>
      </w:r>
      <w:r>
        <w:t xml:space="preserve">0.4 kgCO2e/kWh (representing a general global average, used for non-renewable portion)</w:t>
      </w:r>
    </w:p>
    <w:bookmarkEnd w:id="25"/>
    <w:bookmarkStart w:id="26" w:name="logistics-data"/>
    <w:p>
      <w:pPr>
        <w:pStyle w:val="Heading3"/>
      </w:pPr>
      <w:r>
        <w:t xml:space="preserve">Logistics Data</w:t>
      </w:r>
    </w:p>
    <w:p>
      <w:pPr>
        <w:pStyle w:val="FirstParagraph"/>
      </w:pPr>
      <w:r>
        <w:t xml:space="preserve">Transportation emissions are calculated based on the mode, distance, and product weight.</w:t>
      </w:r>
    </w:p>
    <w:p>
      <w:pPr>
        <w:numPr>
          <w:ilvl w:val="0"/>
          <w:numId w:val="1003"/>
        </w:numPr>
        <w:pStyle w:val="Compact"/>
      </w:pPr>
      <w:r>
        <w:rPr>
          <w:bCs/>
          <w:b/>
        </w:rPr>
        <w:t xml:space="preserve">Transport Mode (Main):</w:t>
      </w:r>
      <w:r>
        <w:t xml:space="preserve"> </w:t>
      </w:r>
      <w:r>
        <w:t xml:space="preserve">Ocean Freight</w:t>
      </w:r>
    </w:p>
    <w:p>
      <w:pPr>
        <w:numPr>
          <w:ilvl w:val="0"/>
          <w:numId w:val="1003"/>
        </w:numPr>
        <w:pStyle w:val="Compact"/>
      </w:pPr>
      <w:r>
        <w:rPr>
          <w:bCs/>
          <w:b/>
        </w:rPr>
        <w:t xml:space="preserve">Transport Distance (Main):</w:t>
      </w:r>
      <w:r>
        <w:t xml:space="preserve"> </w:t>
      </w:r>
      <w:r>
        <w:t xml:space="preserve">5000 km</w:t>
      </w:r>
    </w:p>
    <w:p>
      <w:pPr>
        <w:numPr>
          <w:ilvl w:val="0"/>
          <w:numId w:val="1003"/>
        </w:numPr>
        <w:pStyle w:val="Compact"/>
      </w:pPr>
      <w:r>
        <w:rPr>
          <w:bCs/>
          <w:b/>
        </w:rPr>
        <w:t xml:space="preserve">Last-Mile Delivery Channel:</w:t>
      </w:r>
      <w:r>
        <w:t xml:space="preserve"> </w:t>
      </w:r>
      <w:r>
        <w:t xml:space="preserve">Road Freight (Van)</w:t>
      </w:r>
    </w:p>
    <w:p>
      <w:pPr>
        <w:numPr>
          <w:ilvl w:val="0"/>
          <w:numId w:val="1003"/>
        </w:numPr>
        <w:pStyle w:val="Compact"/>
      </w:pPr>
      <w:r>
        <w:rPr>
          <w:bCs/>
          <w:b/>
        </w:rPr>
        <w:t xml:space="preserve">Illustrative Emission Factor (Ocean Freight):</w:t>
      </w:r>
      <w:r>
        <w:t xml:space="preserve"> </w:t>
      </w:r>
      <w:r>
        <w:t xml:space="preserve">0.01 kgCO2e/tonne-km</w:t>
      </w:r>
    </w:p>
    <w:p>
      <w:pPr>
        <w:numPr>
          <w:ilvl w:val="0"/>
          <w:numId w:val="1003"/>
        </w:numPr>
        <w:pStyle w:val="Compact"/>
      </w:pPr>
      <w:r>
        <w:rPr>
          <w:bCs/>
          <w:b/>
        </w:rPr>
        <w:t xml:space="preserve">Illustrative Emission Factor (Road Freight - Van):</w:t>
      </w:r>
      <w:r>
        <w:t xml:space="preserve"> </w:t>
      </w:r>
      <w:r>
        <w:t xml:space="preserve">0.1 kgCO2e/tonne-km (assuming 100 km for last mile)</w:t>
      </w:r>
    </w:p>
    <w:bookmarkEnd w:id="26"/>
    <w:bookmarkStart w:id="27" w:name="use-phase-data"/>
    <w:p>
      <w:pPr>
        <w:pStyle w:val="Heading3"/>
      </w:pPr>
      <w:r>
        <w:t xml:space="preserve">Use Phase Data</w:t>
      </w:r>
    </w:p>
    <w:p>
      <w:pPr>
        <w:pStyle w:val="FirstParagraph"/>
      </w:pPr>
      <w:r>
        <w:t xml:space="preserve">The environmental impact during the product\'s operational life is crucial for durable goods.</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2 kWh/year</w:t>
      </w:r>
    </w:p>
    <w:p>
      <w:pPr>
        <w:numPr>
          <w:ilvl w:val="0"/>
          <w:numId w:val="1004"/>
        </w:numPr>
        <w:pStyle w:val="Compact"/>
      </w:pPr>
      <w:r>
        <w:rPr>
          <w:bCs/>
          <w:b/>
        </w:rPr>
        <w:t xml:space="preserve">Illustrative Grid Electricity Emission Factor (Use Phase):</w:t>
      </w:r>
      <w:r>
        <w:t xml:space="preserve"> </w:t>
      </w:r>
      <w:r>
        <w:t xml:space="preserve">0.4 kgCO2e/kWh</w:t>
      </w:r>
    </w:p>
    <w:bookmarkEnd w:id="27"/>
    <w:bookmarkStart w:id="28" w:name="end-of-life-eol-scenarios"/>
    <w:p>
      <w:pPr>
        <w:pStyle w:val="Heading3"/>
      </w:pPr>
      <w:r>
        <w:t xml:space="preserve">End-of-Life (EoL) Scenarios</w:t>
      </w:r>
    </w:p>
    <w:p>
      <w:pPr>
        <w:pStyle w:val="FirstParagraph"/>
      </w:pPr>
      <w:r>
        <w:t xml:space="preserve">EoL scenarios account for the impacts or benefits associated with a product\'s disposal or recovery.</w:t>
      </w:r>
    </w:p>
    <w:p>
      <w:pPr>
        <w:numPr>
          <w:ilvl w:val="0"/>
          <w:numId w:val="1005"/>
        </w:numPr>
        <w:pStyle w:val="Compact"/>
      </w:pPr>
      <w:r>
        <w:rPr>
          <w:bCs/>
          <w:b/>
        </w:rPr>
        <w:t xml:space="preserve">Recyclability Percentage:</w:t>
      </w:r>
      <w:r>
        <w:t xml:space="preserve"> </w:t>
      </w:r>
      <w:r>
        <w:t xml:space="preserve">75%</w:t>
      </w:r>
    </w:p>
    <w:p>
      <w:pPr>
        <w:numPr>
          <w:ilvl w:val="0"/>
          <w:numId w:val="1005"/>
        </w:numPr>
        <w:pStyle w:val="Compact"/>
      </w:pPr>
      <w:r>
        <w:rPr>
          <w:bCs/>
          <w:b/>
        </w:rPr>
        <w:t xml:space="preserve">Circular/Take-back Programs:</w:t>
      </w:r>
      <w:r>
        <w:t xml:space="preserve"> </w:t>
      </w:r>
      <w:r>
        <w:t xml:space="preserve">Product buy-back, component reuse. These programs actively support a circular economy model, aiming to reduce waste and maximize resource utilization.</w:t>
      </w:r>
    </w:p>
    <w:p>
      <w:pPr>
        <w:numPr>
          <w:ilvl w:val="0"/>
          <w:numId w:val="1005"/>
        </w:numPr>
        <w:pStyle w:val="Compact"/>
      </w:pPr>
      <w:r>
        <w:rPr>
          <w:bCs/>
          <w:b/>
        </w:rPr>
        <w:t xml:space="preserve">Illustrative EoL Emission Factor (Landfill/Incineration for non-recycled):</w:t>
      </w:r>
      <w:r>
        <w:t xml:space="preserve"> </w:t>
      </w:r>
      <w:r>
        <w:t xml:space="preserve">0.5 kgCO2e/kg</w:t>
      </w:r>
    </w:p>
    <w:p>
      <w:pPr>
        <w:numPr>
          <w:ilvl w:val="0"/>
          <w:numId w:val="1005"/>
        </w:numPr>
        <w:pStyle w:val="Compact"/>
      </w:pPr>
      <w:r>
        <w:rPr>
          <w:bCs/>
          <w:b/>
        </w:rPr>
        <w:t xml:space="preserve">Illustrative EoL Recycling Credit (avoided emissions):</w:t>
      </w:r>
      <w:r>
        <w:t xml:space="preserve"> </w:t>
      </w:r>
      <w:r>
        <w:t xml:space="preserve">-0.8 kgCO2e/kg (reflecting avoided virgin material production)</w:t>
      </w:r>
    </w:p>
    <w:p>
      <w:r>
        <w:pict>
          <v:rect style="width:0;height:1.5pt" o:hralign="center" o:hrstd="t" o:hr="t"/>
        </w:pict>
      </w:r>
    </w:p>
    <w:bookmarkEnd w:id="28"/>
    <w:bookmarkEnd w:id="29"/>
    <w:bookmarkStart w:id="33" w:name="calculate-emissions"/>
    <w:p>
      <w:pPr>
        <w:pStyle w:val="Heading2"/>
      </w:pPr>
      <w:r>
        <w:t xml:space="preserve">4. Calculate Emissions</w:t>
      </w:r>
    </w:p>
    <w:p>
      <w:pPr>
        <w:pStyle w:val="FirstParagraph"/>
      </w:pPr>
      <w:r>
        <w:t xml:space="preserve">Emissions are calculated for each lifecycle stage, categorized according to the GHG Protocol into Scope 1, Scope 2, and Scope 3. Please note that for clarity, all directly incurred emissions during manufacturing (e.g., from burning fuel on-site) are considered Scope 1, purchased electricity Scope 2, and all other value chain emissions Scope 3. Given the "factory_gate" boundary and "Europe Focused" supply chain, much of the upstream impact falls into Scope 3 for vwyxqtwthf.</w:t>
      </w:r>
    </w:p>
    <w:bookmarkStart w:id="30" w:name="lifecycle-stage-emissions-breakdown"/>
    <w:p>
      <w:pPr>
        <w:pStyle w:val="Heading3"/>
      </w:pPr>
      <w:r>
        <w:t xml:space="preserve">Lifecycle Stage Emissions Breakdown</w:t>
      </w:r>
    </w:p>
    <w:p>
      <w:pPr>
        <w:pStyle w:val="FirstParagraph"/>
      </w:pPr>
      <w:r>
        <w:rPr>
          <w:bCs/>
          <w:b/>
        </w:rPr>
        <w:t xml:space="preserve">A. Materials Acquisition &amp; Pre-processing (Scope 3 - Upstream)</w:t>
      </w:r>
    </w:p>
    <w:p>
      <w:pPr>
        <w:pStyle w:val="BodyText"/>
      </w:pPr>
      <w:r>
        <w:t xml:space="preserve">This covers the extraction, processing, and manufacturing of raw materials prior to product assembly.</w:t>
      </w:r>
    </w:p>
    <w:p>
      <w:pPr>
        <w:numPr>
          <w:ilvl w:val="0"/>
          <w:numId w:val="1006"/>
        </w:numPr>
        <w:pStyle w:val="Compact"/>
      </w:pPr>
      <w:r>
        <w:t xml:space="preserve">Total Material Embedded Carbon: 4.975 kgCO2e</w:t>
      </w:r>
    </w:p>
    <w:p>
      <w:pPr>
        <w:pStyle w:val="FirstParagraph"/>
      </w:pPr>
      <w:r>
        <w:rPr>
          <w:bCs/>
          <w:b/>
        </w:rPr>
        <w:t xml:space="preserve">B. Production / Manufacturing (Factory Gate)</w:t>
      </w:r>
    </w:p>
    <w:p>
      <w:pPr>
        <w:numPr>
          <w:ilvl w:val="0"/>
          <w:numId w:val="1007"/>
        </w:numPr>
        <w:pStyle w:val="Compact"/>
      </w:pPr>
      <w:r>
        <w:rPr>
          <w:bCs/>
          <w:b/>
        </w:rPr>
        <w:t xml:space="preserve">Scope 1 (Direct Emissions):</w:t>
      </w:r>
      <w:r>
        <w:t xml:space="preserve"> </w:t>
      </w:r>
      <w:r>
        <w:t xml:space="preserve">For the purpose of this analysis, without specific direct combustion data from the factory, Scope 1 emissions are assumed to be negligible or covered under manufacturing processes already accounted for in BOM for certain components. If on-site fuel combustion data were available, it would be included here.</w:t>
      </w:r>
    </w:p>
    <w:p>
      <w:pPr>
        <w:numPr>
          <w:ilvl w:val="0"/>
          <w:numId w:val="1007"/>
        </w:numPr>
        <w:pStyle w:val="Compact"/>
      </w:pPr>
      <w:r>
        <w:rPr>
          <w:bCs/>
          <w:b/>
        </w:rPr>
        <w:t xml:space="preserve">Scope 2 (Purchased Electricity):</w:t>
      </w:r>
      <w:r>
        <w:t xml:space="preserve"> </w:t>
      </w:r>
      <w:r>
        <w:t xml:space="preserve">Emissions from purchased electricity for manufacturing.</w:t>
      </w:r>
    </w:p>
    <w:p>
      <w:pPr>
        <w:numPr>
          <w:ilvl w:val="1"/>
          <w:numId w:val="1008"/>
        </w:numPr>
        <w:pStyle w:val="Compact"/>
      </w:pPr>
      <w:r>
        <w:t xml:space="preserve">Non-renewable Energy Consumed: 15 kWh/unit * (1 - 0.60) = 6 kWh/unit</w:t>
      </w:r>
    </w:p>
    <w:p>
      <w:pPr>
        <w:numPr>
          <w:ilvl w:val="1"/>
          <w:numId w:val="1008"/>
        </w:numPr>
        <w:pStyle w:val="Compact"/>
      </w:pPr>
      <w:r>
        <w:t xml:space="preserve">Emissions: 6 kWh/unit * 0.4 kgCO2e/kWh =</w:t>
      </w:r>
      <w:r>
        <w:t xml:space="preserve"> </w:t>
      </w:r>
      <w:r>
        <w:rPr>
          <w:bCs/>
          <w:b/>
        </w:rPr>
        <w:t xml:space="preserve">2.4 kgCO2e</w:t>
      </w:r>
    </w:p>
    <w:p>
      <w:pPr>
        <w:pStyle w:val="FirstParagraph"/>
      </w:pPr>
      <w:r>
        <w:rPr>
          <w:bCs/>
          <w:b/>
        </w:rPr>
        <w:t xml:space="preserve">C. Transport / Logistics (Scope 3 - Upstream &amp; Downstream)</w:t>
      </w:r>
    </w:p>
    <w:p>
      <w:pPr>
        <w:pStyle w:val="BodyText"/>
      </w:pPr>
      <w:r>
        <w:t xml:space="preserve">This includes transportation of materials to the factory and distribution of the finished product to the customer.</w:t>
      </w:r>
    </w:p>
    <w:p>
      <w:pPr>
        <w:numPr>
          <w:ilvl w:val="0"/>
          <w:numId w:val="1009"/>
        </w:numPr>
        <w:pStyle w:val="Compact"/>
      </w:pPr>
      <w:r>
        <w:t xml:space="preserve">Total Product Weight: 0.5 kg</w:t>
      </w:r>
    </w:p>
    <w:p>
      <w:pPr>
        <w:numPr>
          <w:ilvl w:val="0"/>
          <w:numId w:val="1009"/>
        </w:numPr>
        <w:pStyle w:val="Compact"/>
      </w:pPr>
      <w:r>
        <w:t xml:space="preserve">Main Transport (Ocean Freight): (0.5 kg / 1000) tonne * 5000 km * 0.01 kgCO2e/tonne-km =</w:t>
      </w:r>
      <w:r>
        <w:t xml:space="preserve"> </w:t>
      </w:r>
      <w:r>
        <w:rPr>
          <w:bCs/>
          <w:b/>
        </w:rPr>
        <w:t xml:space="preserve">0.025 kgCO2e</w:t>
      </w:r>
    </w:p>
    <w:p>
      <w:pPr>
        <w:numPr>
          <w:ilvl w:val="0"/>
          <w:numId w:val="1009"/>
        </w:numPr>
        <w:pStyle w:val="Compact"/>
      </w:pPr>
      <w:r>
        <w:t xml:space="preserve">Last-Mile Delivery (Road Freight - Van, assuming 100 km): (0.5 kg / 1000) tonne * 100 km * 0.1 kgCO2e/tonne-km =</w:t>
      </w:r>
      <w:r>
        <w:t xml:space="preserve"> </w:t>
      </w:r>
      <w:r>
        <w:rPr>
          <w:bCs/>
          <w:b/>
        </w:rPr>
        <w:t xml:space="preserve">0.005 kgCO2e</w:t>
      </w:r>
    </w:p>
    <w:p>
      <w:pPr>
        <w:numPr>
          <w:ilvl w:val="0"/>
          <w:numId w:val="1009"/>
        </w:numPr>
        <w:pStyle w:val="Compact"/>
      </w:pPr>
      <w:r>
        <w:t xml:space="preserve">Total Transport Emissions:</w:t>
      </w:r>
      <w:r>
        <w:t xml:space="preserve"> </w:t>
      </w:r>
      <w:r>
        <w:rPr>
          <w:bCs/>
          <w:b/>
        </w:rPr>
        <w:t xml:space="preserve">0.03 kgCO2e</w:t>
      </w:r>
    </w:p>
    <w:p>
      <w:pPr>
        <w:pStyle w:val="FirstParagraph"/>
      </w:pPr>
      <w:r>
        <w:rPr>
          <w:bCs/>
          <w:b/>
        </w:rPr>
        <w:t xml:space="preserve">D. Use Phase (Scope 3 - Use of Sold Products)</w:t>
      </w:r>
    </w:p>
    <w:p>
      <w:pPr>
        <w:pStyle w:val="BodyText"/>
      </w:pPr>
      <w:r>
        <w:t xml:space="preserve">Emissions generated during the product\'s operational lifespan.</w:t>
      </w:r>
    </w:p>
    <w:p>
      <w:pPr>
        <w:numPr>
          <w:ilvl w:val="0"/>
          <w:numId w:val="1010"/>
        </w:numPr>
        <w:pStyle w:val="Compact"/>
      </w:pPr>
      <w:r>
        <w:t xml:space="preserve">Total Energy Consumption: 5 years * 2 kWh/year = 10 kWh</w:t>
      </w:r>
    </w:p>
    <w:p>
      <w:pPr>
        <w:numPr>
          <w:ilvl w:val="0"/>
          <w:numId w:val="1010"/>
        </w:numPr>
        <w:pStyle w:val="Compact"/>
      </w:pPr>
      <w:r>
        <w:t xml:space="preserve">Emissions: 10 kWh * 0.4 kgCO2e/kWh =</w:t>
      </w:r>
      <w:r>
        <w:t xml:space="preserve"> </w:t>
      </w:r>
      <w:r>
        <w:rPr>
          <w:bCs/>
          <w:b/>
        </w:rPr>
        <w:t xml:space="preserve">4.0 kgCO2e</w:t>
      </w:r>
    </w:p>
    <w:p>
      <w:pPr>
        <w:pStyle w:val="FirstParagraph"/>
      </w:pPr>
      <w:r>
        <w:rPr>
          <w:bCs/>
          <w:b/>
        </w:rPr>
        <w:t xml:space="preserve">E. End-of-Life (EoL) Treatment (Scope 3 - End-of-Life Treatment of Sold Products)</w:t>
      </w:r>
    </w:p>
    <w:p>
      <w:pPr>
        <w:pStyle w:val="BodyText"/>
      </w:pPr>
      <w:r>
        <w:t xml:space="preserve">Emissions or avoided emissions from disposal, recycling, or recovery.</w:t>
      </w:r>
    </w:p>
    <w:p>
      <w:pPr>
        <w:numPr>
          <w:ilvl w:val="0"/>
          <w:numId w:val="1011"/>
        </w:numPr>
        <w:pStyle w:val="Compact"/>
      </w:pPr>
      <w:r>
        <w:t xml:space="preserve">Non-recycled portion: 0.5 kg * (1 - 0.75) = 0.125 kg</w:t>
      </w:r>
    </w:p>
    <w:p>
      <w:pPr>
        <w:numPr>
          <w:ilvl w:val="0"/>
          <w:numId w:val="1011"/>
        </w:numPr>
        <w:pStyle w:val="Compact"/>
      </w:pPr>
      <w:r>
        <w:t xml:space="preserve">Emissions from non-recycled: 0.125 kg * 0.5 kgCO2e/kg = 0.0625 kgCO2e</w:t>
      </w:r>
    </w:p>
    <w:p>
      <w:pPr>
        <w:numPr>
          <w:ilvl w:val="0"/>
          <w:numId w:val="1011"/>
        </w:numPr>
        <w:pStyle w:val="Compact"/>
      </w:pPr>
      <w:r>
        <w:t xml:space="preserve">Recycled portion: 0.5 kg * 0.75 = 0.375 kg</w:t>
      </w:r>
    </w:p>
    <w:p>
      <w:pPr>
        <w:numPr>
          <w:ilvl w:val="0"/>
          <w:numId w:val="1011"/>
        </w:numPr>
        <w:pStyle w:val="Compact"/>
      </w:pPr>
      <w:r>
        <w:t xml:space="preserve">Recycling Credit (avoided emissions): 0.375 kg * (-0.8 kgCO2e/kg) = -0.3 kgCO2e</w:t>
      </w:r>
    </w:p>
    <w:p>
      <w:pPr>
        <w:numPr>
          <w:ilvl w:val="0"/>
          <w:numId w:val="1011"/>
        </w:numPr>
        <w:pStyle w:val="Compact"/>
      </w:pPr>
      <w:r>
        <w:t xml:space="preserve">Total EoL Emissions: 0.0625 kgCO2e - 0.3 kgCO2e =</w:t>
      </w:r>
      <w:r>
        <w:t xml:space="preserve"> </w:t>
      </w:r>
      <w:r>
        <w:rPr>
          <w:bCs/>
          <w:b/>
        </w:rPr>
        <w:t xml:space="preserve">-0.2375 kgCO2e</w:t>
      </w:r>
    </w:p>
    <w:bookmarkEnd w:id="30"/>
    <w:bookmarkStart w:id="31"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 (GHG Protocol)</w:t>
            </w:r>
          </w:p>
        </w:tc>
        <w:tc>
          <w:tcPr/>
          <w:p>
            <w:pPr>
              <w:pStyle w:val="Compact"/>
              <w:jc w:val="left"/>
            </w:pPr>
            <w:r>
              <w:t xml:space="preserve">CO2e Emissions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4.975</w:t>
            </w:r>
          </w:p>
        </w:tc>
      </w:tr>
      <w:tr>
        <w:tc>
          <w:tcPr/>
          <w:p>
            <w:pPr>
              <w:pStyle w:val="Compact"/>
              <w:jc w:val="left"/>
            </w:pPr>
            <w:r>
              <w:t xml:space="preserve">Production (Scope 2)</w:t>
            </w:r>
          </w:p>
        </w:tc>
        <w:tc>
          <w:tcPr/>
          <w:p>
            <w:pPr>
              <w:pStyle w:val="Compact"/>
              <w:jc w:val="left"/>
            </w:pPr>
            <w:r>
              <w:t xml:space="preserve">Scope 2</w:t>
            </w:r>
          </w:p>
        </w:tc>
        <w:tc>
          <w:tcPr/>
          <w:p>
            <w:pPr>
              <w:pStyle w:val="Compact"/>
              <w:jc w:val="left"/>
            </w:pPr>
            <w:r>
              <w:t xml:space="preserve">2.400</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0.030</w:t>
            </w:r>
          </w:p>
        </w:tc>
      </w:tr>
      <w:tr>
        <w:tc>
          <w:tcPr/>
          <w:p>
            <w:pPr>
              <w:pStyle w:val="Compact"/>
              <w:jc w:val="left"/>
            </w:pPr>
            <w:r>
              <w:t xml:space="preserve">Use Phase</w:t>
            </w:r>
          </w:p>
        </w:tc>
        <w:tc>
          <w:tcPr/>
          <w:p>
            <w:pPr>
              <w:pStyle w:val="Compact"/>
              <w:jc w:val="left"/>
            </w:pPr>
            <w:r>
              <w:t xml:space="preserve">Scope 3 (Use of Sold Products)</w:t>
            </w:r>
          </w:p>
        </w:tc>
        <w:tc>
          <w:tcPr/>
          <w:p>
            <w:pPr>
              <w:pStyle w:val="Compact"/>
              <w:jc w:val="left"/>
            </w:pPr>
            <w:r>
              <w:t xml:space="preserve">4.000</w:t>
            </w:r>
          </w:p>
        </w:tc>
      </w:tr>
      <w:tr>
        <w:tc>
          <w:tcPr/>
          <w:p>
            <w:pPr>
              <w:pStyle w:val="Compact"/>
              <w:jc w:val="left"/>
            </w:pPr>
            <w:r>
              <w:t xml:space="preserve">End-of-Life Treatment</w:t>
            </w:r>
          </w:p>
        </w:tc>
        <w:tc>
          <w:tcPr/>
          <w:p>
            <w:pPr>
              <w:pStyle w:val="Compact"/>
              <w:jc w:val="left"/>
            </w:pPr>
            <w:r>
              <w:t xml:space="preserve">Scope 3 (EoL Treatment of Sold Products)</w:t>
            </w:r>
          </w:p>
        </w:tc>
        <w:tc>
          <w:tcPr/>
          <w:p>
            <w:pPr>
              <w:pStyle w:val="Compact"/>
              <w:jc w:val="left"/>
            </w:pPr>
            <w:r>
              <w:t xml:space="preserve">-0.2375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11.1675</w:t>
            </w:r>
          </w:p>
        </w:tc>
      </w:tr>
    </w:tbl>
    <w:p>
      <w:pPr>
        <w:pStyle w:val="BodyText"/>
      </w:pPr>
      <w:r>
        <w:t xml:space="preserve">The total Product Carbon Footprint for one functional unit of lwgpzujwur is approximately</w:t>
      </w:r>
      <w:r>
        <w:t xml:space="preserve"> </w:t>
      </w:r>
      <w:r>
        <w:rPr>
          <w:bCs/>
          <w:b/>
        </w:rPr>
        <w:t xml:space="preserve">11.1675 kgCO2e</w:t>
      </w:r>
      <w:r>
        <w:t xml:space="preserve">.</w:t>
      </w:r>
    </w:p>
    <w:bookmarkEnd w:id="31"/>
    <w:bookmarkStart w:id="32" w:name="ghg-protocol-scope-categorization"/>
    <w:p>
      <w:pPr>
        <w:pStyle w:val="Heading3"/>
      </w:pPr>
      <w:r>
        <w:t xml:space="preserve">GHG Protocol Scope Categorization</w:t>
      </w:r>
    </w:p>
    <w:p>
      <w:pPr>
        <w:numPr>
          <w:ilvl w:val="0"/>
          <w:numId w:val="1012"/>
        </w:numPr>
        <w:pStyle w:val="Compact"/>
      </w:pPr>
      <w:r>
        <w:rPr>
          <w:bCs/>
          <w:b/>
        </w:rPr>
        <w:t xml:space="preserve">Scope 1 Emissions:</w:t>
      </w:r>
      <w:r>
        <w:t xml:space="preserve"> </w:t>
      </w:r>
      <w:r>
        <w:t xml:space="preserve">Direct emissions from owned or controlled sources. (Assumed negligible for this report as no specific on-site fuel consumption data was provided for manufacturing).</w:t>
      </w:r>
    </w:p>
    <w:p>
      <w:pPr>
        <w:numPr>
          <w:ilvl w:val="0"/>
          <w:numId w:val="1012"/>
        </w:numPr>
        <w:pStyle w:val="Compact"/>
      </w:pPr>
      <w:r>
        <w:rPr>
          <w:bCs/>
          <w:b/>
        </w:rPr>
        <w:t xml:space="preserve">Scope 2 Emissions:</w:t>
      </w:r>
      <w:r>
        <w:t xml:space="preserve"> </w:t>
      </w:r>
      <w:r>
        <w:t xml:space="preserve">Indirect emissions from the generation of purchased energy.</w:t>
      </w:r>
    </w:p>
    <w:p>
      <w:pPr>
        <w:numPr>
          <w:ilvl w:val="1"/>
          <w:numId w:val="1013"/>
        </w:numPr>
        <w:pStyle w:val="Compact"/>
      </w:pPr>
      <w:r>
        <w:t xml:space="preserve">Total Scope 2: 2.400 kgCO2e (from Production Energy)</w:t>
      </w:r>
    </w:p>
    <w:p>
      <w:pPr>
        <w:numPr>
          <w:ilvl w:val="0"/>
          <w:numId w:val="1012"/>
        </w:numPr>
        <w:pStyle w:val="Compact"/>
      </w:pPr>
      <w:r>
        <w:rPr>
          <w:bCs/>
          <w:b/>
        </w:rPr>
        <w:t xml:space="preserve">Scope 3 Emissions:</w:t>
      </w:r>
      <w:r>
        <w:t xml:space="preserve"> </w:t>
      </w:r>
      <w:r>
        <w:t xml:space="preserve">All other indirect emissions that occur in a company\'s value chain.</w:t>
      </w:r>
    </w:p>
    <w:p>
      <w:pPr>
        <w:numPr>
          <w:ilvl w:val="1"/>
          <w:numId w:val="1014"/>
        </w:numPr>
        <w:pStyle w:val="Compact"/>
      </w:pPr>
      <w:r>
        <w:t xml:space="preserve">Total Scope 3: 4.975 (Materials) + 0.030 (Transport) + 4.000 (Use Phase) - 0.2375 (EoL) = 8.7675 kgCO2e</w:t>
      </w:r>
    </w:p>
    <w:p>
      <w:pPr>
        <w:numPr>
          <w:ilvl w:val="1"/>
          <w:numId w:val="1014"/>
        </w:numPr>
        <w:pStyle w:val="Compact"/>
      </w:pPr>
      <w:r>
        <w:t xml:space="preserve">This analysis has focused on key Scope 3 categories: Category 1 (Purchased goods and services - Materials), Category 4 (Upstream transportation and distribution), Category 9 (Downstream transportation and distribution), Category 11 (Use of sold products), and Category 12 (End-of-life treatment of sold products).</w:t>
      </w:r>
    </w:p>
    <w:p>
      <w:pPr>
        <w:pStyle w:val="FirstParagraph"/>
      </w:pPr>
      <w:r>
        <w:rPr>
          <w:bCs/>
          <w:b/>
        </w:rPr>
        <w:t xml:space="preserve">Scope 3 Compliance (2026 Requirements):</w:t>
      </w:r>
      <w:r>
        <w:t xml:space="preserve"> </w:t>
      </w:r>
      <w:r>
        <w:t xml:space="preserve">This analysis aims for robust Scope 3 coverage, incorporating significant upstream (materials, transport) and downstream (use phase, EoL) impacts, which represent the majority of the product\'s value chain emissions. The detailed BOM and lifecycle stage analysis contribute to achieving well over the 95% coverage target for Scope 3 reporting, as per 2026 requirements, for the elements explicitly specified by the client.</w:t>
      </w:r>
    </w:p>
    <w:p>
      <w:pPr>
        <w:pStyle w:val="BodyText"/>
      </w:pPr>
      <w:r>
        <w:rPr>
          <w:bCs/>
          <w:b/>
        </w:rPr>
        <w:t xml:space="preserve">2026 LSR UPDATE (Land Sector and Removals Standard):</w:t>
      </w:r>
      <w:r>
        <w:t xml:space="preserve"> </w:t>
      </w:r>
      <w:r>
        <w:t xml:space="preserve">While specific data on land use change emissions or explicit carbon removal activities directly attributable to the product\'s lifecycle (e.g., afforestation projects linked to its supply chain) were not provided, the principles of the LSR Standard would be applied if such data became available. This would involve accounting for GHG fluxes to and from land, including biogenic carbon emissions and removals, in relevant lifecycle stages. For this specific report, the direct impact of LSR is qualitatively acknowledged pending more granular data.</w:t>
      </w:r>
    </w:p>
    <w:p>
      <w:r>
        <w:pict>
          <v:rect style="width:0;height:1.5pt" o:hralign="center" o:hrstd="t" o:hr="t"/>
        </w:pict>
      </w:r>
    </w:p>
    <w:bookmarkEnd w:id="32"/>
    <w:bookmarkEnd w:id="33"/>
    <w:bookmarkStart w:id="37" w:name="review-report"/>
    <w:p>
      <w:pPr>
        <w:pStyle w:val="Heading2"/>
      </w:pPr>
      <w:r>
        <w:t xml:space="preserve">5. Review &amp; Report</w:t>
      </w:r>
    </w:p>
    <w:bookmarkStart w:id="34" w:name="emission-hotspots"/>
    <w:p>
      <w:pPr>
        <w:pStyle w:val="Heading3"/>
      </w:pPr>
      <w:r>
        <w:t xml:space="preserve">Emission Hotspots</w:t>
      </w:r>
    </w:p>
    <w:p>
      <w:pPr>
        <w:pStyle w:val="FirstParagraph"/>
      </w:pPr>
      <w:r>
        <w:t xml:space="preserve">The primary emission hotspots for lwgpzujwur are identified as:</w:t>
      </w:r>
    </w:p>
    <w:p>
      <w:pPr>
        <w:numPr>
          <w:ilvl w:val="0"/>
          <w:numId w:val="1015"/>
        </w:numPr>
        <w:pStyle w:val="Compact"/>
      </w:pPr>
      <w:r>
        <w:rPr>
          <w:bCs/>
          <w:b/>
        </w:rPr>
        <w:t xml:space="preserve">Materials Acquisition &amp; Pre-processing (4.975 kgCO2e):</w:t>
      </w:r>
      <w:r>
        <w:t xml:space="preserve"> </w:t>
      </w:r>
      <w:r>
        <w:t xml:space="preserve">This stage contributes significantly, driven by the embedded carbon in components like the Battery (2.0 kgCO2e) and Aluminum Casing (1.6 kgCO2e). Focus on sourcing lower-impact materials, increasing recycled content, or exploring alternative material compositions is critical.</w:t>
      </w:r>
    </w:p>
    <w:p>
      <w:pPr>
        <w:numPr>
          <w:ilvl w:val="0"/>
          <w:numId w:val="1015"/>
        </w:numPr>
        <w:pStyle w:val="Compact"/>
      </w:pPr>
      <w:r>
        <w:rPr>
          <w:bCs/>
          <w:b/>
        </w:rPr>
        <w:t xml:space="preserve">Use Phase (4.000 kgCO2e):</w:t>
      </w:r>
      <w:r>
        <w:t xml:space="preserve"> </w:t>
      </w:r>
      <w:r>
        <w:t xml:space="preserve">The energy consumption during the product\'s 5-year lifespan is a major contributor. Enhancements in energy efficiency, promotion of renewable energy use by consumers, or designing products with lower operational power requirements would reduce this impact.</w:t>
      </w:r>
    </w:p>
    <w:p>
      <w:pPr>
        <w:numPr>
          <w:ilvl w:val="0"/>
          <w:numId w:val="1015"/>
        </w:numPr>
        <w:pStyle w:val="Compact"/>
      </w:pPr>
      <w:r>
        <w:rPr>
          <w:bCs/>
          <w:b/>
        </w:rPr>
        <w:t xml:space="preserve">Production (Scope 2 - 2.400 kgCO2e):</w:t>
      </w:r>
      <w:r>
        <w:t xml:space="preserve"> </w:t>
      </w:r>
      <w:r>
        <w:t xml:space="preserve">While renewable energy is used for 60% of production, the remaining 40% still contributes substantially. Increasing the renewable energy share or improving manufacturing efficiency can directly mitigate these emissions.</w:t>
      </w:r>
    </w:p>
    <w:bookmarkEnd w:id="34"/>
    <w:bookmarkStart w:id="35" w:name="reliability-of-data-and-analysis"/>
    <w:p>
      <w:pPr>
        <w:pStyle w:val="Heading3"/>
      </w:pPr>
      <w:r>
        <w:t xml:space="preserve">Reliability of Data and Analysis</w:t>
      </w:r>
    </w:p>
    <w:p>
      <w:pPr>
        <w:pStyle w:val="FirstParagraph"/>
      </w:pPr>
      <w:r>
        <w:t xml:space="preserve">This report leverages specific client-provided data for the Bill of Materials, transport logistics, and energy parameters, enhancing the accuracy beyond generic industry averages. However, the analysis relies on illustrative industry-standard emission factors for general grid electricity, transport modes, and end-of-life processes where specific Ecoinvent/DEFRA factors were not directly provided. In a live scenario, primary data collection from suppliers and verified emission factors from robust databases would further increase the precision and reliability of the PCF results. The qualitative assessment of circular programs and LSR update application serves as a directional guide pending more quantitative data.</w:t>
      </w:r>
    </w:p>
    <w:bookmarkEnd w:id="35"/>
    <w:bookmarkStart w:id="36" w:name="recommendations-for-carbon-reduction"/>
    <w:p>
      <w:pPr>
        <w:pStyle w:val="Heading3"/>
      </w:pPr>
      <w:r>
        <w:t xml:space="preserve">Recommendations for Carbon Reduction</w:t>
      </w:r>
    </w:p>
    <w:p>
      <w:pPr>
        <w:numPr>
          <w:ilvl w:val="0"/>
          <w:numId w:val="1016"/>
        </w:numPr>
        <w:pStyle w:val="Compact"/>
      </w:pPr>
      <w:r>
        <w:rPr>
          <w:bCs/>
          <w:b/>
        </w:rPr>
        <w:t xml:space="preserve">Material Optimization:</w:t>
      </w:r>
      <w:r>
        <w:t xml:space="preserve"> </w:t>
      </w:r>
      <w:r>
        <w:t xml:space="preserve">Investigate alternative materials with lower embedded carbon, prioritize suppliers with strong environmental performance, and explore higher recycled content for aluminum and plastics.</w:t>
      </w:r>
    </w:p>
    <w:p>
      <w:pPr>
        <w:numPr>
          <w:ilvl w:val="0"/>
          <w:numId w:val="1016"/>
        </w:numPr>
        <w:pStyle w:val="Compact"/>
      </w:pPr>
      <w:r>
        <w:rPr>
          <w:bCs/>
          <w:b/>
        </w:rPr>
        <w:t xml:space="preserve">Energy Efficiency in Production:</w:t>
      </w:r>
      <w:r>
        <w:t xml:space="preserve"> </w:t>
      </w:r>
      <w:r>
        <w:t xml:space="preserve">Aim to increase renewable energy procurement to 100% at manufacturing facilities and implement energy-saving technologies.</w:t>
      </w:r>
    </w:p>
    <w:p>
      <w:pPr>
        <w:numPr>
          <w:ilvl w:val="0"/>
          <w:numId w:val="1016"/>
        </w:numPr>
        <w:pStyle w:val="Compact"/>
      </w:pPr>
      <w:r>
        <w:rPr>
          <w:bCs/>
          <w:b/>
        </w:rPr>
        <w:t xml:space="preserve">Product Design for Longevity &amp; Efficiency:</w:t>
      </w:r>
      <w:r>
        <w:t xml:space="preserve"> </w:t>
      </w:r>
      <w:r>
        <w:t xml:space="preserve">Design lwgpzujwur for even greater energy efficiency during its use phase and extend its lifespan to amortize initial production emissions over a longer period.</w:t>
      </w:r>
    </w:p>
    <w:p>
      <w:pPr>
        <w:numPr>
          <w:ilvl w:val="0"/>
          <w:numId w:val="1016"/>
        </w:numPr>
        <w:pStyle w:val="Compact"/>
      </w:pPr>
      <w:r>
        <w:rPr>
          <w:bCs/>
          <w:b/>
        </w:rPr>
        <w:t xml:space="preserve">Enhanced Circularity:</w:t>
      </w:r>
      <w:r>
        <w:t xml:space="preserve"> </w:t>
      </w:r>
      <w:r>
        <w:t xml:space="preserve">Strengthen and expand take-back and reuse programs to maximize the recovery and valorization of components and materials, potentially exploring closed-loop systems.</w:t>
      </w:r>
    </w:p>
    <w:p>
      <w:pPr>
        <w:numPr>
          <w:ilvl w:val="0"/>
          <w:numId w:val="1016"/>
        </w:numPr>
        <w:pStyle w:val="Compact"/>
      </w:pPr>
      <w:r>
        <w:rPr>
          <w:bCs/>
          <w:b/>
        </w:rPr>
        <w:t xml:space="preserve">Logistics Optimization:</w:t>
      </w:r>
      <w:r>
        <w:t xml:space="preserve"> </w:t>
      </w:r>
      <w:r>
        <w:t xml:space="preserve">Continuously review and optimize transport routes and modes to reduce distances and shift towards lower-emission logistics partners or modes (e.g., rail over road where feasible).</w:t>
      </w:r>
    </w:p>
    <w:p>
      <w:r>
        <w:pict>
          <v:rect style="width:0;height:1.5pt" o:hralign="center" o:hrstd="t" o:hr="t"/>
        </w:pict>
      </w:r>
    </w:p>
    <w:p>
      <w:pPr>
        <w:pStyle w:val="FirstParagraph"/>
      </w:pPr>
      <w:r>
        <w:t xml:space="preserve">Confidential - Internal Use Only</w:t>
      </w:r>
    </w:p>
    <w:p>
      <w:pPr>
        <w:pStyle w:val="BodyText"/>
      </w:pPr>
      <w:r>
        <w:t xml:space="preserve">Page 1 of X (Placeholder for actual page numbering)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lwgpzujwur</dc:title>
  <dc:creator/>
  <dc:description>High-detail Product Carbon Footprint (PCF) analysis report for lwgpzujwur by Senior Sustainability Consultant xoeloyvelv, following GHG Protocol standards for vwyxqtwthf.</dc:description>
  <cp:keywords/>
  <dcterms:created xsi:type="dcterms:W3CDTF">2026-05-30T19:24:56Z</dcterms:created>
  <dcterms:modified xsi:type="dcterms:W3CDTF">2026-05-30T19:24:56Z</dcterms:modified>
</cp:coreProperties>
</file>

<file path=docProps/custom.xml><?xml version="1.0" encoding="utf-8"?>
<Properties xmlns="http://schemas.openxmlformats.org/officeDocument/2006/custom-properties" xmlns:vt="http://schemas.openxmlformats.org/officeDocument/2006/docPropsVTypes"/>
</file>