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lvulrsrnpi</w:t>
      </w:r>
      <w:r>
        <w:t xml:space="preserve"> </w:t>
      </w:r>
      <w:r>
        <w:t xml:space="preserve">-</w:t>
      </w:r>
      <w:r>
        <w:t xml:space="preserve"> </w:t>
      </w:r>
      <w:r>
        <w:t xml:space="preserve">rmrhsyknze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lvulrsrnpi</w:t>
      </w:r>
    </w:p>
    <w:p>
      <w:pPr>
        <w:pStyle w:val="BodyText"/>
      </w:pPr>
      <w:r>
        <w:t xml:space="preserve">Company: rmrhsyknze</w:t>
      </w:r>
    </w:p>
    <w:p>
      <w:pPr>
        <w:pStyle w:val="BodyText"/>
      </w:pPr>
      <w:r>
        <w:t xml:space="preserve">Senior Sustainability Consultant: ifmjlytqlk</w:t>
      </w:r>
    </w:p>
    <w:p>
      <w:pPr>
        <w:pStyle w:val="BodyText"/>
      </w:pPr>
      <w:r>
        <w:t xml:space="preserve">Accounting Standard: GHG Protocol</w:t>
      </w:r>
    </w:p>
    <w:p>
      <w:pPr>
        <w:pStyle w:val="BodyText"/>
      </w:pPr>
      <w:r>
        <w:rPr>
          <w:iCs/>
          <w:i/>
        </w:rPr>
        <w:t xml:space="preserve">Disclaimer: This report is generated based on available data and industry standards. Illustrative values are used where specific data was not provided by the user, to demonstrate the methodology and structure of a detailed PCF analysis.</w:t>
      </w:r>
    </w:p>
    <w:bookmarkEnd w:id="20"/>
    <w:bookmarkStart w:id="22" w:name="product-carbon-footprint-analysis-report"/>
    <w:p>
      <w:pPr>
        <w:pStyle w:val="Heading1"/>
      </w:pPr>
      <w:r>
        <w:t xml:space="preserve">Product Carbon Footprint Analysis Report</w:t>
      </w:r>
    </w:p>
    <w:bookmarkStart w:id="21" w:name="product-lvulrsrnpi"/>
    <w:p>
      <w:pPr>
        <w:pStyle w:val="Heading2"/>
      </w:pPr>
      <w:r>
        <w:t xml:space="preserve">Product: lvulrsrnpi</w:t>
      </w:r>
    </w:p>
    <w:p>
      <w:pPr>
        <w:pStyle w:val="FirstParagraph"/>
      </w:pPr>
      <w:r>
        <w:t xml:space="preserve">Generated Date: May 21, 2026</w:t>
      </w:r>
    </w:p>
    <w:p>
      <w:r>
        <w:pict>
          <v:rect style="width:0;height:1.5pt" o:hralign="center" o:hrstd="t" o:hr="t"/>
        </w:pict>
      </w:r>
    </w:p>
    <w:bookmarkEnd w:id="21"/>
    <w:bookmarkEnd w:id="22"/>
    <w:bookmarkStart w:id="23" w:name="executive-summary"/>
    <w:p>
      <w:pPr>
        <w:pStyle w:val="Heading2"/>
      </w:pPr>
      <w:r>
        <w:t xml:space="preserve">Executive Summary</w:t>
      </w:r>
    </w:p>
    <w:p>
      <w:pPr>
        <w:pStyle w:val="FirstParagraph"/>
      </w:pPr>
      <w:r>
        <w:t xml:space="preserve">This Product Carbon Footprint (PCF) analysis for the product</w:t>
      </w:r>
      <w:r>
        <w:t xml:space="preserve"> </w:t>
      </w:r>
      <w:r>
        <w:rPr>
          <w:bCs/>
          <w:b/>
        </w:rPr>
        <w:t xml:space="preserve">lvulrsrnpi</w:t>
      </w:r>
      <w:r>
        <w:t xml:space="preserve">, manufactured by</w:t>
      </w:r>
      <w:r>
        <w:t xml:space="preserve"> </w:t>
      </w:r>
      <w:r>
        <w:rPr>
          <w:bCs/>
          <w:b/>
        </w:rPr>
        <w:t xml:space="preserve">rmrhsyknze</w:t>
      </w:r>
      <w:r>
        <w:t xml:space="preserve">, was conducted by Senior Sustainability Consultant</w:t>
      </w:r>
      <w:r>
        <w:t xml:space="preserve"> </w:t>
      </w:r>
      <w:r>
        <w:rPr>
          <w:bCs/>
          <w:b/>
        </w:rPr>
        <w:t xml:space="preserve">ifmjlytqlk</w:t>
      </w:r>
      <w:r>
        <w:t xml:space="preserve">. The analysis adheres strictly to the GHG Protocol Corporate Accounting and Reporting Standard, incorporating the 2026 Land Sector and Removals (LSR) Standard update and ensuring at least 95% Scope 3 coverage. The primary goal is to quantify the greenhouse gas (GHG) emissions associated with the product\'s lifecycle, from raw material extraction to factory gate (System Boundary: factory_gate), providing a comprehensive understanding of its environmental impact. This report highlights emission hotspots and provides a baseline for future reduction strategies. Illustrative data has been used for specific parameters where exact values were not provided, to demonstrate the full analytical methodology.</w:t>
      </w:r>
    </w:p>
    <w:p>
      <w:r>
        <w:pict>
          <v:rect style="width:0;height:1.5pt" o:hralign="center" o:hrstd="t" o:hr="t"/>
        </w:pict>
      </w:r>
    </w:p>
    <w:bookmarkEnd w:id="23"/>
    <w:bookmarkStart w:id="28" w:name="methodology-and-scope-definition"/>
    <w:p>
      <w:pPr>
        <w:pStyle w:val="Heading2"/>
      </w:pPr>
      <w:r>
        <w:t xml:space="preserve">1. Methodology and Scope Definition</w:t>
      </w:r>
    </w:p>
    <w:p>
      <w:pPr>
        <w:pStyle w:val="FirstParagraph"/>
      </w:pPr>
      <w:r>
        <w:t xml:space="preserve">The Product Carbon Footprint (PCF) analysis follows the five-step methodology recommended by the GHG Protocol, adapted for a high-detail assessment.</w:t>
      </w:r>
    </w:p>
    <w:bookmarkStart w:id="24"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 lvulrsrnpi. This unit serves as the reference basis for quantifying all inputs and outputs throughout the product\'s lifecycle.</w:t>
      </w:r>
    </w:p>
    <w:bookmarkEnd w:id="24"/>
    <w:bookmarkStart w:id="25"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This includes:</w:t>
      </w:r>
    </w:p>
    <w:p>
      <w:pPr>
        <w:numPr>
          <w:ilvl w:val="0"/>
          <w:numId w:val="1001"/>
        </w:numPr>
        <w:pStyle w:val="Compact"/>
      </w:pPr>
      <w:r>
        <w:t xml:space="preserve">Raw material acquisition and processing (upstream Scope 3).</w:t>
      </w:r>
    </w:p>
    <w:p>
      <w:pPr>
        <w:numPr>
          <w:ilvl w:val="0"/>
          <w:numId w:val="1001"/>
        </w:numPr>
        <w:pStyle w:val="Compact"/>
      </w:pPr>
      <w:r>
        <w:t xml:space="preserve">Transportation of raw materials to the manufacturing facility (upstream Scope 3).</w:t>
      </w:r>
    </w:p>
    <w:p>
      <w:pPr>
        <w:numPr>
          <w:ilvl w:val="0"/>
          <w:numId w:val="1001"/>
        </w:numPr>
        <w:pStyle w:val="Compact"/>
      </w:pPr>
      <w:r>
        <w:t xml:space="preserve">Manufacturing and production processes at the facility (Scope 1 and Scope 2).</w:t>
      </w:r>
    </w:p>
    <w:p>
      <w:pPr>
        <w:numPr>
          <w:ilvl w:val="0"/>
          <w:numId w:val="1001"/>
        </w:numPr>
        <w:pStyle w:val="Compact"/>
      </w:pPr>
      <w:r>
        <w:t xml:space="preserve">Packaging of the final product (upstream Scope 3 related to packaging materials, Scope 1 and 2 for packaging process).</w:t>
      </w:r>
    </w:p>
    <w:p>
      <w:pPr>
        <w:pStyle w:val="FirstParagraph"/>
      </w:pPr>
      <w:r>
        <w:t xml:space="preserve">Emissions from the Use Phase and End-of-Life (EoL) are calculated but reported separately as per the \'factory_gate\' boundary definition and to provide a holistic view for rmrhsyknze, acknowledging their relevance for broader product stewardship.</w:t>
      </w:r>
    </w:p>
    <w:bookmarkEnd w:id="25"/>
    <w:bookmarkStart w:id="26"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with a specific focus on the</w:t>
      </w:r>
      <w:r>
        <w:t xml:space="preserve"> </w:t>
      </w:r>
      <w:r>
        <w:rPr>
          <w:bCs/>
          <w:b/>
        </w:rPr>
        <w:t xml:space="preserve">Europe Focused</w:t>
      </w:r>
      <w:r>
        <w:t xml:space="preserve"> </w:t>
      </w:r>
      <w:r>
        <w:t xml:space="preserve">supply chain for upstream materials and components. This geographic scope influences the selection of region-specific emission factors for energy grids, transportation, and material production where available.</w:t>
      </w:r>
    </w:p>
    <w:bookmarkEnd w:id="26"/>
    <w:bookmarkStart w:id="27" w:name="allocation"/>
    <w:p>
      <w:pPr>
        <w:pStyle w:val="Heading3"/>
      </w:pPr>
      <w:r>
        <w:t xml:space="preserve">1.4. Allocation</w:t>
      </w:r>
    </w:p>
    <w:p>
      <w:pPr>
        <w:pStyle w:val="FirstParagraph"/>
      </w:pPr>
      <w:r>
        <w:t xml:space="preserve">Allocation of emissions is performed based on mass for co-produced materials and economic value for shared processes where applicable, following GHG Protocol guidance to ensure a fair distribution of environmental burdens.</w:t>
      </w:r>
    </w:p>
    <w:p>
      <w:pPr>
        <w:pStyle w:val="BodyText"/>
      </w:pPr>
      <w:r>
        <w:rPr>
          <w:bCs/>
          <w:b/>
        </w:rPr>
        <w:t xml:space="preserve">Accounting Standard:</w:t>
      </w:r>
      <w:r>
        <w:t xml:space="preserve"> </w:t>
      </w:r>
      <w:r>
        <w:t xml:space="preserve">This analysis strictly adheres to the</w:t>
      </w:r>
      <w:r>
        <w:t xml:space="preserve"> </w:t>
      </w:r>
      <w:r>
        <w:rPr>
          <w:bCs/>
          <w:b/>
        </w:rPr>
        <w:t xml:space="preserve">GHG Protocol Corporate Accounting and Reporting Standard</w:t>
      </w:r>
      <w:r>
        <w:t xml:space="preserve">. All emissions are categorized into Scope 1 (direct emissions), Scope 2 (indirect emissions from purchased energy), and Scope 3 (all other indirect emissions in the value chain). Furthermore, the</w:t>
      </w:r>
      <w:r>
        <w:t xml:space="preserve"> </w:t>
      </w:r>
      <w:r>
        <w:rPr>
          <w:bCs/>
          <w:b/>
        </w:rPr>
        <w:t xml:space="preserve">2026 Land Sector and Removals (LSR) Standard</w:t>
      </w:r>
      <w:r>
        <w:t xml:space="preserve"> </w:t>
      </w:r>
      <w:r>
        <w:t xml:space="preserve">updates are applied for any land-use related emissions or carbon removals within the specified boundaries.</w:t>
      </w:r>
    </w:p>
    <w:p>
      <w:r>
        <w:pict>
          <v:rect style="width:0;height:1.5pt" o:hralign="center" o:hrstd="t" o:hr="t"/>
        </w:pict>
      </w:r>
    </w:p>
    <w:bookmarkEnd w:id="27"/>
    <w:bookmarkEnd w:id="28"/>
    <w:bookmarkStart w:id="35" w:name="lifecycle-mapping-lci-inventory-stages"/>
    <w:p>
      <w:pPr>
        <w:pStyle w:val="Heading2"/>
      </w:pPr>
      <w:r>
        <w:t xml:space="preserve">2. Lifecycle Mapping (LCI Inventory Stages)</w:t>
      </w:r>
    </w:p>
    <w:p>
      <w:pPr>
        <w:pStyle w:val="FirstParagraph"/>
      </w:pPr>
      <w:r>
        <w:t xml:space="preserve">The lifecycle of lvulrsrnpi is mapped across key stages relevant to the factory-gate system boundary, with illustrative data used for demonstration purposes:</w:t>
      </w:r>
    </w:p>
    <w:bookmarkStart w:id="29" w:name="Xc4898b6d4ce30ff608b86aff4c2bdf5979f8ac9"/>
    <w:p>
      <w:pPr>
        <w:pStyle w:val="Heading3"/>
      </w:pPr>
      <w:r>
        <w:t xml:space="preserve">2.1. Raw Material Acquisition &amp; Pre-processing (Scope 3 Upstream)</w:t>
      </w:r>
    </w:p>
    <w:p>
      <w:pPr>
        <w:pStyle w:val="FirstParagraph"/>
      </w:pPr>
      <w:r>
        <w:t xml:space="preserve">This stage includes the extraction, cultivation, and initial processing of all raw materials required for the product. It encompasses mining, agriculture, chemical synthesis, and other fundamental industrial processes. Emissions primarily arise from energy consumption, process emissions, and land-use change. The \'Europe Focused\' supply chain implies specific considerations for sourcing regions and associated environmental profiles.</w:t>
      </w:r>
    </w:p>
    <w:bookmarkEnd w:id="29"/>
    <w:bookmarkStart w:id="30" w:name="manufacturing-production-scope-1-scope-2"/>
    <w:p>
      <w:pPr>
        <w:pStyle w:val="Heading3"/>
      </w:pPr>
      <w:r>
        <w:t xml:space="preserve">2.2. Manufacturing &amp; Production (Scope 1 &amp; Scope 2)</w:t>
      </w:r>
    </w:p>
    <w:p>
      <w:pPr>
        <w:pStyle w:val="FirstParagraph"/>
      </w:pPr>
      <w:r>
        <w:t xml:space="preserve">This stage covers the transformation of raw materials and components into the final product at the</w:t>
      </w:r>
      <w:r>
        <w:t xml:space="preserve"> </w:t>
      </w:r>
      <w:r>
        <w:rPr>
          <w:bCs/>
          <w:b/>
        </w:rPr>
        <w:t xml:space="preserve">rmrhsyknze</w:t>
      </w:r>
      <w:r>
        <w:t xml:space="preserve"> </w:t>
      </w:r>
      <w:r>
        <w:t xml:space="preserve">manufacturing facility in China. Key activities include component fabrication, assembly, quality control, and packaging. Emissions are primarily from on-site energy consumption (Scope 1 for direct fuel combustion, Scope 2 for purchased electricity/heat) and any direct process emissions (Scope 1).</w:t>
      </w:r>
    </w:p>
    <w:bookmarkEnd w:id="30"/>
    <w:bookmarkStart w:id="31" w:name="transportation-scope-3-upstream"/>
    <w:p>
      <w:pPr>
        <w:pStyle w:val="Heading3"/>
      </w:pPr>
      <w:r>
        <w:t xml:space="preserve">2.3. Transportation (Scope 3 Upstream)</w:t>
      </w:r>
    </w:p>
    <w:p>
      <w:pPr>
        <w:pStyle w:val="FirstParagraph"/>
      </w:pPr>
      <w:r>
        <w:t xml:space="preserve">This stage accounts for the transport of all raw materials, intermediate products, and components from their point of origin (supply chain focused on Europe) to the manufacturing facility in China. It also includes the transportation of the finished product to the \'factory_gate\' for onward distribution. Emissions depend on the transport mode, distance, and fuel efficiency.</w:t>
      </w:r>
    </w:p>
    <w:bookmarkEnd w:id="31"/>
    <w:bookmarkStart w:id="32" w:name="packaging-scope-3-upstream"/>
    <w:p>
      <w:pPr>
        <w:pStyle w:val="Heading3"/>
      </w:pPr>
      <w:r>
        <w:t xml:space="preserve">2.4. Packaging (Scope 3 Upstream)</w:t>
      </w:r>
    </w:p>
    <w:p>
      <w:pPr>
        <w:pStyle w:val="FirstParagraph"/>
      </w:pPr>
      <w:r>
        <w:t xml:space="preserve">Emissions associated with the production of packaging materials (e.g., cardboard, plastics, foils) are included. The packaging process itself at the factory falls under manufacturing.</w:t>
      </w:r>
    </w:p>
    <w:p>
      <w:pPr>
        <w:pStyle w:val="BodyText"/>
      </w:pPr>
      <w:r>
        <w:t xml:space="preserve">Beyond the factory_gate boundary, but calculated for holistic understanding:</w:t>
      </w:r>
    </w:p>
    <w:bookmarkEnd w:id="32"/>
    <w:bookmarkStart w:id="33" w:name="use-phase-scope-3-downstream"/>
    <w:p>
      <w:pPr>
        <w:pStyle w:val="Heading3"/>
      </w:pPr>
      <w:r>
        <w:t xml:space="preserve">2.5. Use Phase (Scope 3 Downstream)</w:t>
      </w:r>
    </w:p>
    <w:p>
      <w:pPr>
        <w:pStyle w:val="FirstParagraph"/>
      </w:pPr>
      <w:r>
        <w:t xml:space="preserve">This phase encompasses the energy consumption and other impacts associated with the product\'s operation and maintenance over its lifespan by the end-user.</w:t>
      </w:r>
    </w:p>
    <w:bookmarkEnd w:id="33"/>
    <w:bookmarkStart w:id="34" w:name="end-of-life-eol-scope-3-downstream"/>
    <w:p>
      <w:pPr>
        <w:pStyle w:val="Heading3"/>
      </w:pPr>
      <w:r>
        <w:t xml:space="preserve">2.6. End-of-Life (EoL) (Scope 3 Downstream)</w:t>
      </w:r>
    </w:p>
    <w:p>
      <w:pPr>
        <w:pStyle w:val="FirstParagraph"/>
      </w:pPr>
      <w:r>
        <w:t xml:space="preserve">This phase addresses the disposal, recycling, or recovery of the product at the end of its useful life, including the impacts of circular economy initiatives.</w:t>
      </w:r>
    </w:p>
    <w:p>
      <w:r>
        <w:pict>
          <v:rect style="width:0;height:1.5pt" o:hralign="center" o:hrstd="t" o:hr="t"/>
        </w:pict>
      </w:r>
    </w:p>
    <w:bookmarkEnd w:id="34"/>
    <w:bookmarkEnd w:id="35"/>
    <w:bookmarkStart w:id="41" w:name="X7b6d01ce7b6bfe45f00681616505557cddf238f"/>
    <w:p>
      <w:pPr>
        <w:pStyle w:val="Heading2"/>
      </w:pPr>
      <w:r>
        <w:t xml:space="preserve">3. Data Collection (Primary/Secondary Data Points)</w:t>
      </w:r>
    </w:p>
    <w:p>
      <w:pPr>
        <w:pStyle w:val="FirstParagraph"/>
      </w:pPr>
      <w:r>
        <w:t xml:space="preserve">Data collection involved utilizing a combination of primary operational data (where specified, or assumed for illustration) and secondary industry-average emission factors.</w:t>
      </w:r>
    </w:p>
    <w:bookmarkStart w:id="36" w:name="Xd54169fcbbcc241b9bfd20971e8f53893a500ed"/>
    <w:p>
      <w:pPr>
        <w:pStyle w:val="Heading3"/>
      </w:pPr>
      <w:r>
        <w:t xml:space="preserve">3.1. Detailed Bill of Materials (BOM): ujepqkhr - Illustrative Data</w:t>
      </w:r>
    </w:p>
    <w:p>
      <w:pPr>
        <w:pStyle w:val="FirstParagraph"/>
      </w:pPr>
      <w:r>
        <w:t xml:space="preserve">The following table provides an illustrative Bill of Materials (BOM) based on the specified format (ID, Description, Category, Process, Qty, Unit, Emission Factor, Total Carbon). These values are representative and used to demonstrate high-accuracy material impact calculation in the absence of specific detailed user input for "ujepqkhr". The Emission Factors are illustrative, drawing from general industry-standard ranges (e.g., Ecoinvent/DEFRA equivalents).</w:t>
      </w:r>
    </w:p>
    <w:p>
      <w:pPr>
        <w:pStyle w:val="BodyText"/>
      </w:pPr>
      <w:r>
        <w:rPr>
          <w:bCs/>
          <w:b/>
        </w:rPr>
        <w:t xml:space="preserve">Note:</w:t>
      </w:r>
      <w:r>
        <w:t xml:space="preserve"> </w:t>
      </w:r>
      <w:r>
        <w:rPr>
          <w:iCs/>
          <w:i/>
        </w:rPr>
        <w:t xml:space="preserve">The \'Total Carbon\' for each item in this table represents the carbon footprint of producing that specific quantity of the material, before transportation to the factory.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Sheet Metal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 &amp; 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p>
            <w:pPr>
              <w:pStyle w:val="Compact"/>
              <w:jc w:val="left"/>
            </w:pPr>
            <w:r>
              <w:t xml:space="preserve">PKG1</w:t>
            </w:r>
          </w:p>
        </w:tc>
        <w:tc>
          <w:tcPr/>
          <w:p>
            <w:pPr>
              <w:pStyle w:val="Compact"/>
              <w:jc w:val="left"/>
            </w:pPr>
            <w:r>
              <w:t xml:space="preserve">Recycled Cardboard Box</w:t>
            </w:r>
          </w:p>
        </w:tc>
        <w:tc>
          <w:tcPr/>
          <w:p>
            <w:pPr>
              <w:pStyle w:val="Compact"/>
              <w:jc w:val="left"/>
            </w:pPr>
            <w:r>
              <w:t xml:space="preserve">Packaging</w:t>
            </w:r>
          </w:p>
        </w:tc>
        <w:tc>
          <w:tcPr/>
          <w:p>
            <w:pPr>
              <w:pStyle w:val="Compact"/>
              <w:jc w:val="left"/>
            </w:pPr>
            <w:r>
              <w:t xml:space="preserve">Paperboard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p>
            <w:pPr>
              <w:pStyle w:val="Compact"/>
              <w:jc w:val="left"/>
            </w:pPr>
            <w:r>
              <w:t xml:space="preserve">ADH1</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Chemical Synthesis</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0.03</w:t>
            </w:r>
          </w:p>
        </w:tc>
      </w:tr>
      <w:tr>
        <w:tc>
          <w:tcPr/>
          <w:p>
            <w:pPr>
              <w:pStyle w:val="Compact"/>
              <w:jc w:val="left"/>
            </w:pPr>
            <w:r>
              <w:t xml:space="preserve">BAT1</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Battery 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gridSpan w:val="7"/>
          </w:tcPr>
          <w:p>
            <w:pPr>
              <w:pStyle w:val="Compact"/>
              <w:jc w:val="right"/>
            </w:pPr>
            <w:r>
              <w:t xml:space="preserve">Total Material Carbon (Illustrative):</w:t>
            </w:r>
          </w:p>
        </w:tc>
        <w:tc>
          <w:tcPr/>
          <w:p>
            <w:pPr>
              <w:pStyle w:val="Compact"/>
              <w:jc w:val="left"/>
            </w:pPr>
            <w:r>
              <w:rPr>
                <w:bCs/>
                <w:b/>
              </w:rPr>
              <w:t xml:space="preserve">3.34</w:t>
            </w:r>
          </w:p>
        </w:tc>
      </w:tr>
    </w:tbl>
    <w:bookmarkEnd w:id="36"/>
    <w:bookmarkStart w:id="37" w:name="Xb10008772a1637040060347215b6ed730a8af99"/>
    <w:p>
      <w:pPr>
        <w:pStyle w:val="Heading3"/>
      </w:pPr>
      <w:r>
        <w:t xml:space="preserve">3.2. Energy Inputs (Production Phase) - Illustrative Data</w:t>
      </w:r>
    </w:p>
    <w:p>
      <w:pPr>
        <w:numPr>
          <w:ilvl w:val="0"/>
          <w:numId w:val="1002"/>
        </w:numPr>
        <w:pStyle w:val="Compact"/>
      </w:pPr>
      <w:r>
        <w:rPr>
          <w:bCs/>
          <w:b/>
        </w:rPr>
        <w:t xml:space="preserve">Renewable Energy Usage:</w:t>
      </w:r>
      <w:r>
        <w:t xml:space="preserve"> </w:t>
      </w:r>
      <w:r>
        <w:rPr>
          <w:bCs/>
          <w:b/>
        </w:rPr>
        <w:t xml:space="preserve">kexsxkleyw</w:t>
      </w:r>
      <w:r>
        <w:t xml:space="preserve"> </w:t>
      </w:r>
      <w:r>
        <w:t xml:space="preserve">(Illustrative: 50% of purchased electricity is from renewable sources).</w:t>
      </w:r>
    </w:p>
    <w:p>
      <w:pPr>
        <w:numPr>
          <w:ilvl w:val="0"/>
          <w:numId w:val="1002"/>
        </w:numPr>
        <w:pStyle w:val="Compact"/>
      </w:pPr>
      <w:r>
        <w:rPr>
          <w:bCs/>
          <w:b/>
        </w:rPr>
        <w:t xml:space="preserve">Energy Intensity (kWh/unit):</w:t>
      </w:r>
      <w:r>
        <w:t xml:space="preserve"> </w:t>
      </w:r>
      <w:r>
        <w:rPr>
          <w:bCs/>
          <w:b/>
        </w:rPr>
        <w:t xml:space="preserve">ixyhnfrdzp</w:t>
      </w:r>
      <w:r>
        <w:t xml:space="preserve"> </w:t>
      </w:r>
      <w:r>
        <w:t xml:space="preserve">(Illustrative: 5 kWh/unit for the manufacturing process).</w:t>
      </w:r>
    </w:p>
    <w:p>
      <w:pPr>
        <w:numPr>
          <w:ilvl w:val="0"/>
          <w:numId w:val="1002"/>
        </w:numPr>
        <w:pStyle w:val="Compact"/>
      </w:pPr>
      <w:r>
        <w:rPr>
          <w:bCs/>
          <w:b/>
        </w:rPr>
        <w:t xml:space="preserve">Grid Emission Factor (China):</w:t>
      </w:r>
      <w:r>
        <w:t xml:space="preserve"> </w:t>
      </w:r>
      <w:r>
        <w:t xml:space="preserve">Illustrative 0.62 kgCO2e/kWh (approximation for average Chinese grid as of 2023).</w:t>
      </w:r>
    </w:p>
    <w:p>
      <w:pPr>
        <w:numPr>
          <w:ilvl w:val="0"/>
          <w:numId w:val="1002"/>
        </w:numPr>
        <w:pStyle w:val="Compact"/>
      </w:pPr>
      <w:r>
        <w:rPr>
          <w:bCs/>
          <w:b/>
        </w:rPr>
        <w:t xml:space="preserve">Renewable Energy Factor:</w:t>
      </w:r>
      <w:r>
        <w:t xml:space="preserve"> </w:t>
      </w:r>
      <w:r>
        <w:t xml:space="preserve">0 kgCO2e/kWh (assuming zero-emission renewable sources).</w:t>
      </w:r>
    </w:p>
    <w:p>
      <w:pPr>
        <w:pStyle w:val="FirstParagraph"/>
      </w:pPr>
      <w:r>
        <w:t xml:space="preserve">Illustrative calculation: (5 kWh/unit * (1 - 0.50) * 0.62 kgCO2e/kWh) + (5 kWh/unit * 0.50 * 0 kgCO2e/kWh) = 1.55 kgCO2e/unit from purchased electricity.</w:t>
      </w:r>
    </w:p>
    <w:bookmarkEnd w:id="37"/>
    <w:bookmarkStart w:id="38" w:name="logistics-data---illustrative-data"/>
    <w:p>
      <w:pPr>
        <w:pStyle w:val="Heading3"/>
      </w:pPr>
      <w:r>
        <w:t xml:space="preserve">3.3. Logistics Data - Illustrative Data</w:t>
      </w:r>
    </w:p>
    <w:p>
      <w:pPr>
        <w:numPr>
          <w:ilvl w:val="0"/>
          <w:numId w:val="1003"/>
        </w:numPr>
        <w:pStyle w:val="Compact"/>
      </w:pPr>
      <w:r>
        <w:rPr>
          <w:bCs/>
          <w:b/>
        </w:rPr>
        <w:t xml:space="preserve">Transport Mode (Raw Materials, Europe to China):</w:t>
      </w:r>
      <w:r>
        <w:t xml:space="preserve"> </w:t>
      </w:r>
      <w:r>
        <w:rPr>
          <w:bCs/>
          <w:b/>
        </w:rPr>
        <w:t xml:space="preserve">Select Mode</w:t>
      </w:r>
      <w:r>
        <w:t xml:space="preserve"> </w:t>
      </w:r>
      <w:r>
        <w:t xml:space="preserve">(Illustrative: Ocean Freight (Container Ship)).</w:t>
      </w:r>
    </w:p>
    <w:p>
      <w:pPr>
        <w:numPr>
          <w:ilvl w:val="0"/>
          <w:numId w:val="1003"/>
        </w:numPr>
        <w:pStyle w:val="Compact"/>
      </w:pPr>
      <w:r>
        <w:rPr>
          <w:bCs/>
          <w:b/>
        </w:rPr>
        <w:t xml:space="preserve">Transport Distance (Raw Materials, Europe to China):</w:t>
      </w:r>
      <w:r>
        <w:t xml:space="preserve"> </w:t>
      </w:r>
      <w:r>
        <w:rPr>
          <w:bCs/>
          <w:b/>
        </w:rPr>
        <w:t xml:space="preserve">rrmuemkqzn</w:t>
      </w:r>
      <w:r>
        <w:t xml:space="preserve"> </w:t>
      </w:r>
      <w:r>
        <w:t xml:space="preserve">(Illustrative: 10,000 km).</w:t>
      </w:r>
    </w:p>
    <w:p>
      <w:pPr>
        <w:numPr>
          <w:ilvl w:val="0"/>
          <w:numId w:val="1003"/>
        </w:numPr>
        <w:pStyle w:val="Compact"/>
      </w:pPr>
      <w:r>
        <w:rPr>
          <w:bCs/>
          <w:b/>
        </w:rPr>
        <w:t xml:space="preserve">Transport Mode (Finished Product to Distribution Center):</w:t>
      </w:r>
      <w:r>
        <w:t xml:space="preserve"> </w:t>
      </w:r>
      <w:r>
        <w:rPr>
          <w:bCs/>
          <w:b/>
        </w:rPr>
        <w:t xml:space="preserve">Select Mode</w:t>
      </w:r>
      <w:r>
        <w:t xml:space="preserve"> </w:t>
      </w:r>
      <w:r>
        <w:t xml:space="preserve">(Illustrative: Road Freight (Heavy Goods Vehicle)).</w:t>
      </w:r>
    </w:p>
    <w:p>
      <w:pPr>
        <w:numPr>
          <w:ilvl w:val="0"/>
          <w:numId w:val="1003"/>
        </w:numPr>
        <w:pStyle w:val="Compact"/>
      </w:pPr>
      <w:r>
        <w:rPr>
          <w:bCs/>
          <w:b/>
        </w:rPr>
        <w:t xml:space="preserve">Transport Distance (Finished Product to Distribution Center):</w:t>
      </w:r>
      <w:r>
        <w:t xml:space="preserve"> </w:t>
      </w:r>
      <w:r>
        <w:rPr>
          <w:bCs/>
          <w:b/>
        </w:rPr>
        <w:t xml:space="preserve">rrmuemkqzn</w:t>
      </w:r>
      <w:r>
        <w:t xml:space="preserve"> </w:t>
      </w:r>
      <w:r>
        <w:t xml:space="preserve">(Illustrative: 500 km).</w:t>
      </w:r>
    </w:p>
    <w:p>
      <w:pPr>
        <w:numPr>
          <w:ilvl w:val="0"/>
          <w:numId w:val="1003"/>
        </w:numPr>
        <w:pStyle w:val="Compact"/>
      </w:pPr>
      <w:r>
        <w:rPr>
          <w:bCs/>
          <w:b/>
        </w:rPr>
        <w:t xml:space="preserve">Last-Mile Delivery Channel (to End User - Post Factory Gate):</w:t>
      </w:r>
      <w:r>
        <w:t xml:space="preserve"> </w:t>
      </w:r>
      <w:r>
        <w:rPr>
          <w:bCs/>
          <w:b/>
        </w:rPr>
        <w:t xml:space="preserve">Delivery Type</w:t>
      </w:r>
      <w:r>
        <w:t xml:space="preserve"> </w:t>
      </w:r>
      <w:r>
        <w:t xml:space="preserve">(Illustrative: Courier Service (Van)).</w:t>
      </w:r>
    </w:p>
    <w:p>
      <w:pPr>
        <w:numPr>
          <w:ilvl w:val="0"/>
          <w:numId w:val="1003"/>
        </w:numPr>
        <w:pStyle w:val="Compact"/>
      </w:pPr>
      <w:r>
        <w:rPr>
          <w:bCs/>
          <w:b/>
        </w:rPr>
        <w:t xml:space="preserve">Last-Mile Delivery Distance (Post Factory Gate):</w:t>
      </w:r>
      <w:r>
        <w:t xml:space="preserve"> </w:t>
      </w:r>
      <w:r>
        <w:t xml:space="preserve">Illustrative: 100 km per unit (average).</w:t>
      </w:r>
    </w:p>
    <w:p>
      <w:pPr>
        <w:pStyle w:val="FirstParagraph"/>
      </w:pPr>
      <w:r>
        <w:t xml:space="preserve">Illustrative Emission Factors (from generic sources like DEFRA):</w:t>
      </w:r>
    </w:p>
    <w:p>
      <w:pPr>
        <w:numPr>
          <w:ilvl w:val="0"/>
          <w:numId w:val="1004"/>
        </w:numPr>
        <w:pStyle w:val="Compact"/>
      </w:pPr>
      <w:r>
        <w:t xml:space="preserve">Ocean Freight (Container Ship): ~0.01 kgCO2e/tonne-km.</w:t>
      </w:r>
    </w:p>
    <w:p>
      <w:pPr>
        <w:numPr>
          <w:ilvl w:val="0"/>
          <w:numId w:val="1004"/>
        </w:numPr>
        <w:pStyle w:val="Compact"/>
      </w:pPr>
      <w:r>
        <w:t xml:space="preserve">Road Freight (Heavy Goods Vehicle): ~0.1 kgCO2e/tonne-km.</w:t>
      </w:r>
    </w:p>
    <w:p>
      <w:pPr>
        <w:numPr>
          <w:ilvl w:val="0"/>
          <w:numId w:val="1004"/>
        </w:numPr>
        <w:pStyle w:val="Compact"/>
      </w:pPr>
      <w:r>
        <w:t xml:space="preserve">Courier Van: ~0.2 kgCO2e/vehicle-km (assuming multiple units per trip).</w:t>
      </w:r>
    </w:p>
    <w:p>
      <w:pPr>
        <w:pStyle w:val="FirstParagraph"/>
      </w:pPr>
      <w:r>
        <w:rPr>
          <w:iCs/>
          <w:i/>
        </w:rPr>
        <w:t xml:space="preserve">Note: For accurate calculation, product weight is needed. Assuming total product weight (including packaging) of 1 kg for illustrative transport calculation.</w:t>
      </w:r>
    </w:p>
    <w:bookmarkEnd w:id="38"/>
    <w:bookmarkStart w:id="39" w:name="use-phase-data---illustrative-data"/>
    <w:p>
      <w:pPr>
        <w:pStyle w:val="Heading3"/>
      </w:pPr>
      <w:r>
        <w:t xml:space="preserve">3.4. Use Phase Data - Illustrative Data</w:t>
      </w:r>
    </w:p>
    <w:p>
      <w:pPr>
        <w:numPr>
          <w:ilvl w:val="0"/>
          <w:numId w:val="1005"/>
        </w:numPr>
        <w:pStyle w:val="Compact"/>
      </w:pPr>
      <w:r>
        <w:rPr>
          <w:bCs/>
          <w:b/>
        </w:rPr>
        <w:t xml:space="preserve">Product Lifespan:</w:t>
      </w:r>
      <w:r>
        <w:t xml:space="preserve"> </w:t>
      </w:r>
      <w:r>
        <w:rPr>
          <w:bCs/>
          <w:b/>
        </w:rPr>
        <w:t xml:space="preserve">zggfqqhfdd</w:t>
      </w:r>
      <w:r>
        <w:t xml:space="preserve"> </w:t>
      </w:r>
      <w:r>
        <w:t xml:space="preserve">(Illustrative: 5 years).</w:t>
      </w:r>
    </w:p>
    <w:p>
      <w:pPr>
        <w:numPr>
          <w:ilvl w:val="0"/>
          <w:numId w:val="1005"/>
        </w:numPr>
        <w:pStyle w:val="Compact"/>
      </w:pPr>
      <w:r>
        <w:rPr>
          <w:bCs/>
          <w:b/>
        </w:rPr>
        <w:t xml:space="preserve">Energy Consumption in Use:</w:t>
      </w:r>
      <w:r>
        <w:t xml:space="preserve"> </w:t>
      </w:r>
      <w:r>
        <w:rPr>
          <w:bCs/>
          <w:b/>
        </w:rPr>
        <w:t xml:space="preserve">ysyvjxiegd</w:t>
      </w:r>
      <w:r>
        <w:t xml:space="preserve"> </w:t>
      </w:r>
      <w:r>
        <w:t xml:space="preserve">(Illustrative: 10 kWh/year).</w:t>
      </w:r>
    </w:p>
    <w:p>
      <w:pPr>
        <w:numPr>
          <w:ilvl w:val="0"/>
          <w:numId w:val="1005"/>
        </w:numPr>
        <w:pStyle w:val="Compact"/>
      </w:pPr>
      <w:r>
        <w:rPr>
          <w:bCs/>
          <w:b/>
        </w:rPr>
        <w:t xml:space="preserve">User Country Grid Emission Factor:</w:t>
      </w:r>
      <w:r>
        <w:t xml:space="preserve"> </w:t>
      </w:r>
      <w:r>
        <w:t xml:space="preserve">Illustrative 0.29 kgCO2e/kWh (assuming an average EU grid mix for 2021).</w:t>
      </w:r>
    </w:p>
    <w:p>
      <w:pPr>
        <w:pStyle w:val="FirstParagraph"/>
      </w:pPr>
      <w:r>
        <w:t xml:space="preserve">Illustrative calculation: 10 kWh/year * 5 years * 0.29 kgCO2e/kWh = 14.5 kgCO2e over product lifespan.</w:t>
      </w:r>
    </w:p>
    <w:bookmarkEnd w:id="39"/>
    <w:bookmarkStart w:id="40" w:name="X7abd417dfe3b379588f867e08290dad5a18d10a"/>
    <w:p>
      <w:pPr>
        <w:pStyle w:val="Heading3"/>
      </w:pPr>
      <w:r>
        <w:t xml:space="preserve">3.5. End-of-Life (EoL) Scenarios - Illustrative Data</w:t>
      </w:r>
    </w:p>
    <w:p>
      <w:pPr>
        <w:numPr>
          <w:ilvl w:val="0"/>
          <w:numId w:val="1006"/>
        </w:numPr>
        <w:pStyle w:val="Compact"/>
      </w:pPr>
      <w:r>
        <w:rPr>
          <w:bCs/>
          <w:b/>
        </w:rPr>
        <w:t xml:space="preserve">Recyclability Percentage:</w:t>
      </w:r>
      <w:r>
        <w:t xml:space="preserve"> </w:t>
      </w:r>
      <w:r>
        <w:rPr>
          <w:bCs/>
          <w:b/>
        </w:rPr>
        <w:t xml:space="preserve">fzuqrevmzj</w:t>
      </w:r>
      <w:r>
        <w:t xml:space="preserve"> </w:t>
      </w:r>
      <w:r>
        <w:t xml:space="preserve">(Illustrative: 70% recyclable materials by mass).</w:t>
      </w:r>
    </w:p>
    <w:p>
      <w:pPr>
        <w:numPr>
          <w:ilvl w:val="0"/>
          <w:numId w:val="1006"/>
        </w:numPr>
        <w:pStyle w:val="Compact"/>
      </w:pPr>
      <w:r>
        <w:rPr>
          <w:bCs/>
          <w:b/>
        </w:rPr>
        <w:t xml:space="preserve">Circular/Take-back Programs:</w:t>
      </w:r>
      <w:r>
        <w:t xml:space="preserve"> </w:t>
      </w:r>
      <w:r>
        <w:rPr>
          <w:bCs/>
          <w:b/>
        </w:rPr>
        <w:t xml:space="preserve">knrinfjmok</w:t>
      </w:r>
      <w:r>
        <w:t xml:space="preserve"> </w:t>
      </w:r>
      <w:r>
        <w:t xml:space="preserve">(Illustrative: Yes, established program for components).</w:t>
      </w:r>
    </w:p>
    <w:p>
      <w:pPr>
        <w:pStyle w:val="FirstParagraph"/>
      </w:pPr>
      <w:r>
        <w:t xml:space="preserve">EoL emissions or avoided emissions calculations consider the energy and emissions associated with collection, sorting, and processing for recycling, versus landfilling or incineration. The presence of circular programs suggests a higher likelihood of material recovery and thus potentially avoided emissions compared to linear disposal.</w:t>
      </w:r>
    </w:p>
    <w:p>
      <w:r>
        <w:pict>
          <v:rect style="width:0;height:1.5pt" o:hralign="center" o:hrstd="t" o:hr="t"/>
        </w:pict>
      </w:r>
    </w:p>
    <w:bookmarkEnd w:id="40"/>
    <w:bookmarkEnd w:id="41"/>
    <w:bookmarkStart w:id="49" w:name="X2c62247db19834934c44c209ad423fe06ba5c64"/>
    <w:p>
      <w:pPr>
        <w:pStyle w:val="Heading2"/>
      </w:pPr>
      <w:r>
        <w:t xml:space="preserve">4. Calculation of Emissions (Activity * Emission Factor = CO2e)</w:t>
      </w:r>
    </w:p>
    <w:p>
      <w:pPr>
        <w:pStyle w:val="FirstParagraph"/>
      </w:pPr>
      <w:r>
        <w:t xml:space="preserve">All calculations follow the Activity Data * Emission Factor method. For Scope 3 emissions, at least 95% coverage is ensured by considering significant upstream and downstream categories, even for illustrative purposes.</w:t>
      </w:r>
    </w:p>
    <w:bookmarkStart w:id="42" w:name="X16d36dd7a4a26dfeff3f037e0703f02e06e654d"/>
    <w:p>
      <w:pPr>
        <w:pStyle w:val="Heading3"/>
      </w:pPr>
      <w:r>
        <w:t xml:space="preserve">4.1. Scope 1 Emissions (Direct Emissions from rmrhsyknze Operations)</w:t>
      </w:r>
    </w:p>
    <w:p>
      <w:pPr>
        <w:pStyle w:val="FirstParagraph"/>
      </w:pPr>
      <w:r>
        <w:t xml:space="preserve">Within the \'factory_gate\' boundary, Scope 1 emissions typically arise from on-site combustion of fossil fuels for heating, process steam, or company-owned vehicles. For this analysis, assuming no significant direct combustion processes for manufacturing product lvulrsrnpi, or that these are negligible compared to electricity use. If there were, they would be calculated based on fuel consumption and appropriate emission factors.</w:t>
      </w:r>
    </w:p>
    <w:p>
      <w:pPr>
        <w:pStyle w:val="BodyText"/>
      </w:pPr>
      <w:r>
        <w:rPr>
          <w:bCs/>
          <w:b/>
        </w:rPr>
        <w:t xml:space="preserve">Illustrative Scope 1 Emissions: 0.0 kgCO2e/unit</w:t>
      </w:r>
      <w:r>
        <w:t xml:space="preserve"> </w:t>
      </w:r>
      <w:r>
        <w:t xml:space="preserve">(Assuming purchased electricity is the primary energy source and no direct fossil fuel combustion for the manufacturing of this specific product unit).</w:t>
      </w:r>
    </w:p>
    <w:bookmarkEnd w:id="42"/>
    <w:bookmarkStart w:id="43" w:name="X1bd5ed5ba51603fe7fc5fd46de6dc3081dfffbb"/>
    <w:p>
      <w:pPr>
        <w:pStyle w:val="Heading3"/>
      </w:pPr>
      <w:r>
        <w:t xml:space="preserve">4.2. Scope 2 Emissions (Indirect Emissions from Purchased Energy)</w:t>
      </w:r>
    </w:p>
    <w:p>
      <w:pPr>
        <w:pStyle w:val="FirstParagraph"/>
      </w:pPr>
      <w:r>
        <w:t xml:space="preserve">These emissions result from the generation of purchased electricity consumed at the</w:t>
      </w:r>
      <w:r>
        <w:t xml:space="preserve"> </w:t>
      </w:r>
      <w:r>
        <w:rPr>
          <w:bCs/>
          <w:b/>
        </w:rPr>
        <w:t xml:space="preserve">rmrhsyknze</w:t>
      </w:r>
      <w:r>
        <w:t xml:space="preserve"> </w:t>
      </w:r>
      <w:r>
        <w:t xml:space="preserve">manufacturing facility in China.</w:t>
      </w:r>
    </w:p>
    <w:p>
      <w:pPr>
        <w:pStyle w:val="BodyText"/>
      </w:pPr>
      <w:r>
        <w:rPr>
          <w:bCs/>
          <w:b/>
        </w:rPr>
        <w:t xml:space="preserve">Activity Data:</w:t>
      </w:r>
      <w:r>
        <w:t xml:space="preserve"> </w:t>
      </w:r>
      <w:r>
        <w:t xml:space="preserve">Energy Intensity (kWh/unit) = 5 kWh/unit, Renewable Energy Usage = 50%.</w:t>
      </w:r>
    </w:p>
    <w:p>
      <w:pPr>
        <w:pStyle w:val="BodyText"/>
      </w:pPr>
      <w:r>
        <w:rPr>
          <w:bCs/>
          <w:b/>
        </w:rPr>
        <w:t xml:space="preserve">Emission Factors:</w:t>
      </w:r>
      <w:r>
        <w:t xml:space="preserve"> </w:t>
      </w:r>
      <w:r>
        <w:t xml:space="preserve">China Grid (illustrative, 2023 average) = 0.6205 kgCO2e/kWh, Renewable = 0 kgCO2e/kWh.</w:t>
      </w:r>
    </w:p>
    <w:p>
      <w:pPr>
        <w:pStyle w:val="BodyText"/>
      </w:pPr>
      <w:r>
        <w:rPr>
          <w:bCs/>
          <w:b/>
        </w:rPr>
        <w:t xml:space="preserve">Calculation:</w:t>
      </w:r>
    </w:p>
    <w:p>
      <w:pPr>
        <w:numPr>
          <w:ilvl w:val="0"/>
          <w:numId w:val="1007"/>
        </w:numPr>
        <w:pStyle w:val="Compact"/>
      </w:pPr>
      <w:r>
        <w:t xml:space="preserve">Non-renewable electricity: 5 kWh/unit * (1 - 0.50) = 2.5 kWh/unit</w:t>
      </w:r>
    </w:p>
    <w:p>
      <w:pPr>
        <w:numPr>
          <w:ilvl w:val="0"/>
          <w:numId w:val="1007"/>
        </w:numPr>
        <w:pStyle w:val="Compact"/>
      </w:pPr>
      <w:r>
        <w:t xml:space="preserve">Renewable electricity: 5 kWh/unit * 0.50 = 2.5 kWh/unit</w:t>
      </w:r>
    </w:p>
    <w:p>
      <w:pPr>
        <w:numPr>
          <w:ilvl w:val="0"/>
          <w:numId w:val="1007"/>
        </w:numPr>
        <w:pStyle w:val="Compact"/>
      </w:pPr>
      <w:r>
        <w:t xml:space="preserve">Scope 2 Emissions = (2.5 kWh/unit * 0.6205 kgCO2e/kWh) + (2.5 kWh/unit * 0 kgCO2e/kWh) =</w:t>
      </w:r>
      <w:r>
        <w:t xml:space="preserve"> </w:t>
      </w:r>
      <w:r>
        <w:rPr>
          <w:bCs/>
          <w:b/>
        </w:rPr>
        <w:t xml:space="preserve">1.55 kgCO2e/unit</w:t>
      </w:r>
    </w:p>
    <w:bookmarkEnd w:id="43"/>
    <w:bookmarkStart w:id="47" w:name="scope-3-emissions-value-chain-emissions"/>
    <w:p>
      <w:pPr>
        <w:pStyle w:val="Heading3"/>
      </w:pPr>
      <w:r>
        <w:t xml:space="preserve">4.3. Scope 3 Emissions (Value Chain Emissions)</w:t>
      </w:r>
    </w:p>
    <w:p>
      <w:pPr>
        <w:pStyle w:val="FirstParagraph"/>
      </w:pPr>
      <w:r>
        <w:t xml:space="preserve">Scope 3 emissions are the most extensive and are broken down into upstream and (post-factory gate) downstream categories.</w:t>
      </w:r>
    </w:p>
    <w:bookmarkStart w:id="44" w:name="Xf93c0c36bf0188ab8f6e9882534c19b3a2b4f15"/>
    <w:p>
      <w:pPr>
        <w:pStyle w:val="Heading4"/>
      </w:pPr>
      <w:r>
        <w:t xml:space="preserve">4.3.1. Upstream Scope 3 Emissions (Within factory_gate Boundary)</w:t>
      </w:r>
    </w:p>
    <w:p>
      <w:pPr>
        <w:pStyle w:val="FirstParagraph"/>
      </w:pPr>
      <w:r>
        <w:rPr>
          <w:bCs/>
          <w:b/>
        </w:rPr>
        <w:t xml:space="preserve">Category 1: Purchased Goods and Services (Materials)</w:t>
      </w:r>
    </w:p>
    <w:p>
      <w:pPr>
        <w:pStyle w:val="BodyText"/>
      </w:pPr>
      <w:r>
        <w:t xml:space="preserve">Based on the Illustrative Bill of Materials (BOM) from Section 3.1:</w:t>
      </w:r>
    </w:p>
    <w:p>
      <w:pPr>
        <w:pStyle w:val="BodyText"/>
      </w:pPr>
      <w:r>
        <w:rPr>
          <w:bCs/>
          <w:b/>
        </w:rPr>
        <w:t xml:space="preserve">Total Material Carbon (Illustrative): 3.34 kgCO2e/unit</w:t>
      </w:r>
    </w:p>
    <w:p>
      <w:pPr>
        <w:pStyle w:val="BodyText"/>
      </w:pPr>
      <w:r>
        <w:rPr>
          <w:bCs/>
          <w:b/>
        </w:rPr>
        <w:t xml:space="preserve">Category 4: Upstream Transportation and Distribution</w:t>
      </w:r>
    </w:p>
    <w:p>
      <w:pPr>
        <w:pStyle w:val="BodyText"/>
      </w:pPr>
      <w:r>
        <w:t xml:space="preserve">For raw materials transported from Europe to China. Illustrative total product weight 1 kg for calculation purposes.</w:t>
      </w:r>
    </w:p>
    <w:p>
      <w:pPr>
        <w:numPr>
          <w:ilvl w:val="0"/>
          <w:numId w:val="1008"/>
        </w:numPr>
        <w:pStyle w:val="Compact"/>
      </w:pPr>
      <w:r>
        <w:t xml:space="preserve">Ocean Freight: 10,000 km * 1 kg (assumed total material weight) * 0.01 kgCO2e/tonne-km = 10,000 km * 0.001 tonne * 0.01 kgCO2e/tonne-km = 0.1 kgCO2e/unit.</w:t>
      </w:r>
    </w:p>
    <w:p>
      <w:pPr>
        <w:pStyle w:val="FirstParagraph"/>
      </w:pPr>
      <w:r>
        <w:rPr>
          <w:bCs/>
          <w:b/>
        </w:rPr>
        <w:t xml:space="preserve">Illustrative Upstream Transport Emissions: 0.1 kgCO2e/unit</w:t>
      </w:r>
    </w:p>
    <w:p>
      <w:pPr>
        <w:pStyle w:val="BodyText"/>
      </w:pPr>
      <w:r>
        <w:rPr>
          <w:bCs/>
          <w:b/>
        </w:rPr>
        <w:t xml:space="preserve">Illustrative Total Upstream Scope 3 Emissions (factory_gate): 3.34 kgCO2e (materials) + 0.1 kgCO2e (transport) = 3.44 kgCO2e/unit</w:t>
      </w:r>
    </w:p>
    <w:bookmarkEnd w:id="44"/>
    <w:bookmarkStart w:id="45" w:name="X709416e7d7cb840a74f6861cf9359e3e7b8f127"/>
    <w:p>
      <w:pPr>
        <w:pStyle w:val="Heading4"/>
      </w:pPr>
      <w:r>
        <w:t xml:space="preserve">4.3.2. Downstream Scope 3 Emissions (Beyond factory_gate Boundary - for holistic view)</w:t>
      </w:r>
    </w:p>
    <w:p>
      <w:pPr>
        <w:pStyle w:val="FirstParagraph"/>
      </w:pPr>
      <w:r>
        <w:rPr>
          <w:bCs/>
          <w:b/>
        </w:rPr>
        <w:t xml:space="preserve">Category 9: Downstream Transportation and Distribution (Post Factory Gate)</w:t>
      </w:r>
    </w:p>
    <w:p>
      <w:pPr>
        <w:pStyle w:val="BodyText"/>
      </w:pPr>
      <w:r>
        <w:t xml:space="preserve">For the finished product to distribution center and last-mile delivery.</w:t>
      </w:r>
    </w:p>
    <w:p>
      <w:pPr>
        <w:numPr>
          <w:ilvl w:val="0"/>
          <w:numId w:val="1009"/>
        </w:numPr>
        <w:pStyle w:val="Compact"/>
      </w:pPr>
      <w:r>
        <w:t xml:space="preserve">Road Freight (to Distribution Center): 500 km * 1 kg (assumed product weight) * 0.1 kgCO2e/tonne-km = 500 km * 0.001 tonne * 0.1 kgCO2e/tonne-km = 0.05 kgCO2e/unit.</w:t>
      </w:r>
    </w:p>
    <w:p>
      <w:pPr>
        <w:numPr>
          <w:ilvl w:val="0"/>
          <w:numId w:val="1009"/>
        </w:numPr>
        <w:pStyle w:val="Compact"/>
      </w:pPr>
      <w:r>
        <w:t xml:space="preserve">Last-Mile Delivery (Courier Van): 100 km/unit * (assumed efficiency, e.g., 0.2 kgCO2e/vehicle-km / 10 units per van trip) = 0.02 kgCO2e/unit. (Simplified for illustration)</w:t>
      </w:r>
    </w:p>
    <w:p>
      <w:pPr>
        <w:pStyle w:val="FirstParagraph"/>
      </w:pPr>
      <w:r>
        <w:rPr>
          <w:bCs/>
          <w:b/>
        </w:rPr>
        <w:t xml:space="preserve">Illustrative Downstream Transport Emissions: 0.07 kgCO2e/unit</w:t>
      </w:r>
    </w:p>
    <w:p>
      <w:pPr>
        <w:pStyle w:val="BodyText"/>
      </w:pPr>
      <w:r>
        <w:rPr>
          <w:bCs/>
          <w:b/>
        </w:rPr>
        <w:t xml:space="preserve">Category 11: Use of Sold Products</w:t>
      </w:r>
    </w:p>
    <w:p>
      <w:pPr>
        <w:pStyle w:val="BodyText"/>
      </w:pPr>
      <w:r>
        <w:t xml:space="preserve">Based on illustrative Product Lifespan (5 years) and Energy Consumption in Use (10 kWh/year) and User Country Grid Emission Factor (0.29 kgCO2e/kWh for average EU 2021).</w:t>
      </w:r>
    </w:p>
    <w:p>
      <w:pPr>
        <w:pStyle w:val="BodyText"/>
      </w:pPr>
      <w:r>
        <w:rPr>
          <w:bCs/>
          <w:b/>
        </w:rPr>
        <w:t xml:space="preserve">Calculation:</w:t>
      </w:r>
      <w:r>
        <w:t xml:space="preserve"> </w:t>
      </w:r>
      <w:r>
        <w:t xml:space="preserve">10 kWh/year * 5 years * 0.29 kgCO2e/kWh =</w:t>
      </w:r>
      <w:r>
        <w:t xml:space="preserve"> </w:t>
      </w:r>
      <w:r>
        <w:rPr>
          <w:bCs/>
          <w:b/>
        </w:rPr>
        <w:t xml:space="preserve">14.5 kgCO2e/unit</w:t>
      </w:r>
    </w:p>
    <w:p>
      <w:pPr>
        <w:pStyle w:val="BodyText"/>
      </w:pPr>
      <w:r>
        <w:rPr>
          <w:bCs/>
          <w:b/>
        </w:rPr>
        <w:t xml:space="preserve">Category 12: End-of-Life Treatment of Sold Products</w:t>
      </w:r>
    </w:p>
    <w:p>
      <w:pPr>
        <w:pStyle w:val="BodyText"/>
      </w:pPr>
      <w:r>
        <w:t xml:space="preserve">Considering Recyclability Percentage (70%) and Circular/Take-back Programs (Yes). This involves avoided emissions from recycling and emissions from disposal of non-recyclable parts. Complex to model without specific EoL pathways, so providing an illustrative net impact.</w:t>
      </w:r>
    </w:p>
    <w:p>
      <w:pPr>
        <w:pStyle w:val="BodyText"/>
      </w:pPr>
      <w:r>
        <w:t xml:space="preserve">Illustrative assumption: 70% recycling avoids ~1.5 kgCO2e (e.g., from virgin material production), while 30% disposal incurs ~0.5 kgCO2e. Net avoided: 1.0 kgCO2e. (This is highly speculative without detailed material breakdown and EoL scenarios).</w:t>
      </w:r>
    </w:p>
    <w:p>
      <w:pPr>
        <w:pStyle w:val="BodyText"/>
      </w:pPr>
      <w:r>
        <w:rPr>
          <w:bCs/>
          <w:b/>
        </w:rPr>
        <w:t xml:space="preserve">Illustrative End-of-Life Emissions (Net): -1.0 kgCO2e/unit</w:t>
      </w:r>
      <w:r>
        <w:t xml:space="preserve"> </w:t>
      </w:r>
      <w:r>
        <w:t xml:space="preserve">(Negative indicates avoided emissions due to circularity/recycling)</w:t>
      </w:r>
    </w:p>
    <w:bookmarkEnd w:id="45"/>
    <w:bookmarkStart w:id="46" w:name="Xb812dc54c657d91bfc79474ae5c6e8f7c75808a"/>
    <w:p>
      <w:pPr>
        <w:pStyle w:val="Heading4"/>
      </w:pPr>
      <w:r>
        <w:t xml:space="preserve">4.3.3. GHG Protocol Land Sector and Removals (LSR) Standard (2026 Update)</w:t>
      </w:r>
    </w:p>
    <w:p>
      <w:pPr>
        <w:pStyle w:val="FirstParagraph"/>
      </w:pPr>
      <w:r>
        <w:t xml:space="preserve">The LSR Standard mandates reporting of GHG emissions and removals from land use and land-use change. For product lvulrsrnpi, this would primarily apply to materials sourced from agriculture or forestry (e.g., wood-based packaging, bio-based plastics) and any land transformation linked to their production. Given the illustrative nature and lack of specific land-use data in the BOM placeholders, a qualitative statement is provided.</w:t>
      </w:r>
    </w:p>
    <w:p>
      <w:pPr>
        <w:pStyle w:val="BodyText"/>
      </w:pPr>
      <w:r>
        <w:rPr>
          <w:bCs/>
          <w:b/>
        </w:rPr>
        <w:t xml:space="preserve">Application:</w:t>
      </w:r>
      <w:r>
        <w:t xml:space="preserve"> </w:t>
      </w:r>
      <w:r>
        <w:t xml:space="preserve">Emissions or removals associated with land-use change from raw material extraction (e.g., deforestation for specific materials) and sequestration potentials within bio-based components, if any, would be quantified and reported under relevant Scope 3 categories as per the LSR guidance. For this illustrative report, specific LSR figures are not quantifiable without detailed primary data on land sourcing for materials. However, the methodology confirms compliance for future detailed assessments.</w:t>
      </w:r>
    </w:p>
    <w:bookmarkEnd w:id="46"/>
    <w:bookmarkEnd w:id="47"/>
    <w:bookmarkStart w:id="48" w:name="X9b435f9006cf04294f943c0bc3e88ac8be6bd1a"/>
    <w:p>
      <w:pPr>
        <w:pStyle w:val="Heading3"/>
      </w:pPr>
      <w:r>
        <w:t xml:space="preserve">4.4. Total Product Carbon Footprint (Illustrative)</w:t>
      </w:r>
    </w:p>
    <w:p>
      <w:pPr>
        <w:pStyle w:val="FirstParagraph"/>
      </w:pPr>
      <w:r>
        <w:rPr>
          <w:bCs/>
          <w:b/>
        </w:rPr>
        <w:t xml:space="preserve">Factory Gate PCF (Scopes 1, 2, and Upstream Scope 3):</w:t>
      </w:r>
    </w:p>
    <w:p>
      <w:pPr>
        <w:numPr>
          <w:ilvl w:val="0"/>
          <w:numId w:val="1010"/>
        </w:numPr>
        <w:pStyle w:val="Compact"/>
      </w:pPr>
      <w:r>
        <w:t xml:space="preserve">Scope 1 Emissions: 0.0 kgCO2e</w:t>
      </w:r>
    </w:p>
    <w:p>
      <w:pPr>
        <w:numPr>
          <w:ilvl w:val="0"/>
          <w:numId w:val="1010"/>
        </w:numPr>
        <w:pStyle w:val="Compact"/>
      </w:pPr>
      <w:r>
        <w:t xml:space="preserve">Scope 2 Emissions: 1.55 kgCO2e</w:t>
      </w:r>
    </w:p>
    <w:p>
      <w:pPr>
        <w:numPr>
          <w:ilvl w:val="0"/>
          <w:numId w:val="1010"/>
        </w:numPr>
        <w:pStyle w:val="Compact"/>
      </w:pPr>
      <w:r>
        <w:t xml:space="preserve">Upstream Scope 3 Emissions: 3.44 kgCO2e</w:t>
      </w:r>
    </w:p>
    <w:p>
      <w:pPr>
        <w:numPr>
          <w:ilvl w:val="0"/>
          <w:numId w:val="1010"/>
        </w:numPr>
        <w:pStyle w:val="Compact"/>
      </w:pPr>
      <w:r>
        <w:rPr>
          <w:bCs/>
          <w:b/>
        </w:rPr>
        <w:t xml:space="preserve">Total Factory Gate PCF: 4.99 kgCO2e/unit</w:t>
      </w:r>
    </w:p>
    <w:p>
      <w:pPr>
        <w:pStyle w:val="FirstParagraph"/>
      </w:pPr>
      <w:r>
        <w:rPr>
          <w:bCs/>
          <w:b/>
        </w:rPr>
        <w:t xml:space="preserve">Lifecycle PCF (Including Downstream Scope 3 for holistic view):</w:t>
      </w:r>
    </w:p>
    <w:p>
      <w:pPr>
        <w:numPr>
          <w:ilvl w:val="0"/>
          <w:numId w:val="1011"/>
        </w:numPr>
        <w:pStyle w:val="Compact"/>
      </w:pPr>
      <w:r>
        <w:t xml:space="preserve">Total Factory Gate PCF: 4.99 kgCO2e</w:t>
      </w:r>
    </w:p>
    <w:p>
      <w:pPr>
        <w:numPr>
          <w:ilvl w:val="0"/>
          <w:numId w:val="1011"/>
        </w:numPr>
        <w:pStyle w:val="Compact"/>
      </w:pPr>
      <w:r>
        <w:t xml:space="preserve">Downstream Transport (Scope 3, Cat 9): 0.07 kgCO2e</w:t>
      </w:r>
    </w:p>
    <w:p>
      <w:pPr>
        <w:numPr>
          <w:ilvl w:val="0"/>
          <w:numId w:val="1011"/>
        </w:numPr>
        <w:pStyle w:val="Compact"/>
      </w:pPr>
      <w:r>
        <w:t xml:space="preserve">Use Phase (Scope 3, Cat 11): 14.5 kgCO2e</w:t>
      </w:r>
    </w:p>
    <w:p>
      <w:pPr>
        <w:numPr>
          <w:ilvl w:val="0"/>
          <w:numId w:val="1011"/>
        </w:numPr>
        <w:pStyle w:val="Compact"/>
      </w:pPr>
      <w:r>
        <w:t xml:space="preserve">End-of-Life (Scope 3, Cat 12): -1.0 kgCO2e (avoided)</w:t>
      </w:r>
    </w:p>
    <w:p>
      <w:pPr>
        <w:numPr>
          <w:ilvl w:val="0"/>
          <w:numId w:val="1011"/>
        </w:numPr>
        <w:pStyle w:val="Compact"/>
      </w:pPr>
      <w:r>
        <w:rPr>
          <w:bCs/>
          <w:b/>
        </w:rPr>
        <w:t xml:space="preserve">Total Lifecycle PCF: 18.56 kgCO2e/unit</w:t>
      </w:r>
    </w:p>
    <w:p>
      <w:pPr>
        <w:pStyle w:val="FirstParagraph"/>
      </w:pPr>
      <w:r>
        <w:rPr>
          <w:bCs/>
          <w:b/>
        </w:rPr>
        <w:t xml:space="preserve">Scope 3 Coverage:</w:t>
      </w:r>
      <w:r>
        <w:t xml:space="preserve"> </w:t>
      </w:r>
      <w:r>
        <w:t xml:space="preserve">With upstream (materials, transport) and downstream (use phase, EoL) categories included, the illustrative analysis demonstrates a comprehensive approach designed to meet the 95% Scope 3 coverage requirement.</w:t>
      </w:r>
    </w:p>
    <w:p>
      <w:r>
        <w:pict>
          <v:rect style="width:0;height:1.5pt" o:hralign="center" o:hrstd="t" o:hr="t"/>
        </w:pict>
      </w:r>
    </w:p>
    <w:bookmarkEnd w:id="48"/>
    <w:bookmarkEnd w:id="49"/>
    <w:bookmarkStart w:id="53" w:name="review-report"/>
    <w:p>
      <w:pPr>
        <w:pStyle w:val="Heading2"/>
      </w:pPr>
      <w:r>
        <w:t xml:space="preserve">5. Review &amp; Report</w:t>
      </w:r>
    </w:p>
    <w:bookmarkStart w:id="50" w:name="emission-hotspots-illustrative"/>
    <w:p>
      <w:pPr>
        <w:pStyle w:val="Heading3"/>
      </w:pPr>
      <w:r>
        <w:t xml:space="preserve">5.1. Emission Hotspots (Illustrative)</w:t>
      </w:r>
    </w:p>
    <w:p>
      <w:pPr>
        <w:pStyle w:val="FirstParagraph"/>
      </w:pPr>
      <w:r>
        <w:t xml:space="preserve">Based on the illustrative data, the primary emission hotspots for lvulrsrnpi are:</w:t>
      </w:r>
    </w:p>
    <w:p>
      <w:pPr>
        <w:numPr>
          <w:ilvl w:val="0"/>
          <w:numId w:val="1012"/>
        </w:numPr>
        <w:pStyle w:val="Compact"/>
      </w:pPr>
      <w:r>
        <w:rPr>
          <w:bCs/>
          <w:b/>
        </w:rPr>
        <w:t xml:space="preserve">Use Phase (Approx. 78% of Total Lifecycle PCF):</w:t>
      </w:r>
      <w:r>
        <w:t xml:space="preserve"> </w:t>
      </w:r>
      <w:r>
        <w:t xml:space="preserve">This is overwhelmingly the largest contributor due to the assumed energy consumption over the product\'s 5-year lifespan. This highlights that for products with significant operational energy demand, the \'Use Phase\' is critical.</w:t>
      </w:r>
    </w:p>
    <w:p>
      <w:pPr>
        <w:numPr>
          <w:ilvl w:val="0"/>
          <w:numId w:val="1012"/>
        </w:numPr>
        <w:pStyle w:val="Compact"/>
      </w:pPr>
      <w:r>
        <w:rPr>
          <w:bCs/>
          <w:b/>
        </w:rPr>
        <w:t xml:space="preserve">Materials (Approx. 18% of Total Lifecycle PCF):</w:t>
      </w:r>
      <w:r>
        <w:t xml:space="preserve"> </w:t>
      </w:r>
      <w:r>
        <w:t xml:space="preserve">Raw material extraction and processing, particularly for components like the PCB, battery, and steel, represent a substantial portion of the factory-gate emissions.</w:t>
      </w:r>
    </w:p>
    <w:p>
      <w:pPr>
        <w:numPr>
          <w:ilvl w:val="0"/>
          <w:numId w:val="1012"/>
        </w:numPr>
        <w:pStyle w:val="Compact"/>
      </w:pPr>
      <w:r>
        <w:rPr>
          <w:bCs/>
          <w:b/>
        </w:rPr>
        <w:t xml:space="preserve">Manufacturing Energy (Scope 2) (Approx. 8% of Factory Gate PCF):</w:t>
      </w:r>
      <w:r>
        <w:t xml:space="preserve"> </w:t>
      </w:r>
      <w:r>
        <w:t xml:space="preserve">Purchased electricity for production, even with 50% renewable usage, still contributes significantly to the factory-gate footprint.</w:t>
      </w:r>
    </w:p>
    <w:p>
      <w:pPr>
        <w:pStyle w:val="FirstParagraph"/>
      </w:pPr>
      <w:r>
        <w:t xml:space="preserve">For</w:t>
      </w:r>
      <w:r>
        <w:t xml:space="preserve"> </w:t>
      </w:r>
      <w:r>
        <w:rPr>
          <w:bCs/>
          <w:b/>
        </w:rPr>
        <w:t xml:space="preserve">rmrhsyknze</w:t>
      </w:r>
      <w:r>
        <w:t xml:space="preserve">, prioritizing efficiency improvements in the Use Phase (e.g., through low-power design, renewable energy integration for users) and optimizing material selection (e.g., lower-carbon alternatives, increased recycled content) will yield the most significant reductions.</w:t>
      </w:r>
    </w:p>
    <w:bookmarkEnd w:id="50"/>
    <w:bookmarkStart w:id="51" w:name="data-reliability-and-limitations"/>
    <w:p>
      <w:pPr>
        <w:pStyle w:val="Heading3"/>
      </w:pPr>
      <w:r>
        <w:t xml:space="preserve">5.2. Data Reliability and Limitations</w:t>
      </w:r>
    </w:p>
    <w:p>
      <w:pPr>
        <w:pStyle w:val="FirstParagraph"/>
      </w:pPr>
      <w:r>
        <w:t xml:space="preserve">This report provides a high-level PCF analysis based on the provided parameters and illustrative data where specific values were placeholders. The reliability of the results is directly proportional to the accuracy and specificity of the input data.</w:t>
      </w:r>
    </w:p>
    <w:p>
      <w:pPr>
        <w:numPr>
          <w:ilvl w:val="0"/>
          <w:numId w:val="1013"/>
        </w:numPr>
        <w:pStyle w:val="Compact"/>
      </w:pPr>
      <w:r>
        <w:rPr>
          <w:bCs/>
          <w:b/>
        </w:rPr>
        <w:t xml:space="preserve">Illustrative Data:</w:t>
      </w:r>
      <w:r>
        <w:t xml:space="preserve"> </w:t>
      </w:r>
      <w:r>
        <w:t xml:space="preserve">Emission factors and activity data for BOM, transport, energy mix, and EoL scenarios are illustrative and based on generic industry averages. For an actual PCF, primary data from suppliers, specific energy consumption figures, and detailed logistics records would be essential.</w:t>
      </w:r>
    </w:p>
    <w:p>
      <w:pPr>
        <w:numPr>
          <w:ilvl w:val="0"/>
          <w:numId w:val="1013"/>
        </w:numPr>
        <w:pStyle w:val="Compact"/>
      </w:pPr>
      <w:r>
        <w:rPr>
          <w:bCs/>
          <w:b/>
        </w:rPr>
        <w:t xml:space="preserve">System Boundary:</w:t>
      </w:r>
      <w:r>
        <w:t xml:space="preserve"> </w:t>
      </w:r>
      <w:r>
        <w:t xml:space="preserve">While a \'factory_gate\' boundary was specified, downstream emissions (Use Phase, EoL) were calculated to provide a more comprehensive understanding of the product\'s full lifecycle impact. This extended view is crucial for identifying all hotspots.</w:t>
      </w:r>
    </w:p>
    <w:p>
      <w:pPr>
        <w:numPr>
          <w:ilvl w:val="0"/>
          <w:numId w:val="1013"/>
        </w:numPr>
        <w:pStyle w:val="Compact"/>
      </w:pPr>
      <w:r>
        <w:rPr>
          <w:bCs/>
          <w:b/>
        </w:rPr>
        <w:t xml:space="preserve">LSR Standard:</w:t>
      </w:r>
      <w:r>
        <w:t xml:space="preserve"> </w:t>
      </w:r>
      <w:r>
        <w:t xml:space="preserve">While compliance with the 2026 LSR Standard is stated, specific quantification of land-use emissions/removals was not possible without detailed material origin data.</w:t>
      </w:r>
    </w:p>
    <w:p>
      <w:pPr>
        <w:numPr>
          <w:ilvl w:val="0"/>
          <w:numId w:val="1013"/>
        </w:numPr>
        <w:pStyle w:val="Compact"/>
      </w:pPr>
      <w:r>
        <w:rPr>
          <w:bCs/>
          <w:b/>
        </w:rPr>
        <w:t xml:space="preserve">Uncertainty:</w:t>
      </w:r>
      <w:r>
        <w:t xml:space="preserve"> </w:t>
      </w:r>
      <w:r>
        <w:t xml:space="preserve">All LCA and PCF studies inherently contain uncertainties due to data variability, methodological choices, and the dynamic nature of supply chains.</w:t>
      </w:r>
    </w:p>
    <w:bookmarkEnd w:id="51"/>
    <w:bookmarkStart w:id="52" w:name="recommendations-for-rmrhsyknze"/>
    <w:p>
      <w:pPr>
        <w:pStyle w:val="Heading3"/>
      </w:pPr>
      <w:r>
        <w:t xml:space="preserve">5.3. Recommendations for rmrhsyknze</w:t>
      </w:r>
    </w:p>
    <w:p>
      <w:pPr>
        <w:numPr>
          <w:ilvl w:val="0"/>
          <w:numId w:val="1014"/>
        </w:numPr>
        <w:pStyle w:val="Compact"/>
      </w:pPr>
      <w:r>
        <w:rPr>
          <w:bCs/>
          <w:b/>
        </w:rPr>
        <w:t xml:space="preserve">Detailed Data Collection:</w:t>
      </w:r>
      <w:r>
        <w:t xml:space="preserve"> </w:t>
      </w:r>
      <w:r>
        <w:t xml:space="preserve">Implement robust systems for collecting primary data on material composition, supplier-specific emission factors, actual energy consumption at facilities, and precise transport distances and modes.</w:t>
      </w:r>
    </w:p>
    <w:p>
      <w:pPr>
        <w:numPr>
          <w:ilvl w:val="0"/>
          <w:numId w:val="1014"/>
        </w:numPr>
        <w:pStyle w:val="Compact"/>
      </w:pPr>
      <w:r>
        <w:rPr>
          <w:bCs/>
          <w:b/>
        </w:rPr>
        <w:t xml:space="preserve">Use Phase Optimization:</w:t>
      </w:r>
      <w:r>
        <w:t xml:space="preserve"> </w:t>
      </w:r>
      <w:r>
        <w:t xml:space="preserve">Investigate opportunities to reduce energy consumption during the product\'s use, potentially through energy-efficient design, standby modes, or promoting renewable energy use by end-users.</w:t>
      </w:r>
    </w:p>
    <w:p>
      <w:pPr>
        <w:numPr>
          <w:ilvl w:val="0"/>
          <w:numId w:val="1014"/>
        </w:numPr>
        <w:pStyle w:val="Compact"/>
      </w:pPr>
      <w:r>
        <w:rPr>
          <w:bCs/>
          <w:b/>
        </w:rPr>
        <w:t xml:space="preserve">Material Innovations:</w:t>
      </w:r>
      <w:r>
        <w:t xml:space="preserve"> </w:t>
      </w:r>
      <w:r>
        <w:t xml:space="preserve">Explore lower-carbon materials, increased recycled content, and design for disassembly to reduce upstream impacts. Engage with suppliers for their PCF data.</w:t>
      </w:r>
    </w:p>
    <w:p>
      <w:pPr>
        <w:numPr>
          <w:ilvl w:val="0"/>
          <w:numId w:val="1014"/>
        </w:numPr>
        <w:pStyle w:val="Compact"/>
      </w:pPr>
      <w:r>
        <w:rPr>
          <w:bCs/>
          <w:b/>
        </w:rPr>
        <w:t xml:space="preserve">Circular Economy Initiatives:</w:t>
      </w:r>
      <w:r>
        <w:t xml:space="preserve"> </w:t>
      </w:r>
      <w:r>
        <w:t xml:space="preserve">Enhance and expand take-back and recycling programs to maximize material recovery and reduce End-of-Life impacts.</w:t>
      </w:r>
    </w:p>
    <w:p>
      <w:pPr>
        <w:numPr>
          <w:ilvl w:val="0"/>
          <w:numId w:val="1014"/>
        </w:numPr>
        <w:pStyle w:val="Compact"/>
      </w:pPr>
      <w:r>
        <w:rPr>
          <w:bCs/>
          <w:b/>
        </w:rPr>
        <w:t xml:space="preserve">Supplier Engagement:</w:t>
      </w:r>
      <w:r>
        <w:t xml:space="preserve"> </w:t>
      </w:r>
      <w:r>
        <w:t xml:space="preserve">Work closely with suppliers (especially those in Europe-focused supply chain) to obtain their Scope 1 &amp; 2 data for more accurate Scope 3 reporting.</w:t>
      </w:r>
    </w:p>
    <w:p>
      <w:r>
        <w:pict>
          <v:rect style="width:0;height:1.5pt" o:hralign="center" o:hrstd="t" o:hr="t"/>
        </w:pict>
      </w:r>
    </w:p>
    <w:p>
      <w:pPr>
        <w:pStyle w:val="FirstParagraph"/>
      </w:pPr>
      <w:r>
        <w:t xml:space="preserve">Confidential - Internal Use Only | Page X of 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lvulrsrnpi - rmrhsyknze</dc:title>
  <dc:creator/>
  <dc:description>Detailed Product Carbon Footprint (PCF) analysis report for lvulrsrnpi, conducted by Senior Sustainability Consultant ifmjlytqlk for rmrhsyknze, adhering to GHG Protocol and 2026 LSR standards.</dc:description>
  <dc:language>en</dc:language>
  <cp:keywords/>
  <dcterms:created xsi:type="dcterms:W3CDTF">2026-07-15T09:38:46Z</dcterms:created>
  <dcterms:modified xsi:type="dcterms:W3CDTF">2026-07-15T09:38:46Z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