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lvrdlonqqe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lvrdlonqqe</w:t>
      </w:r>
    </w:p>
    <w:p>
      <w:pPr>
        <w:pStyle w:val="BodyText"/>
      </w:pPr>
      <w:r>
        <w:t xml:space="preserve">Company Name:</w:t>
      </w:r>
      <w:r>
        <w:t xml:space="preserve"> </w:t>
      </w:r>
      <w:r>
        <w:rPr>
          <w:bCs/>
          <w:b/>
        </w:rPr>
        <w:t xml:space="preserve">egxzftjoge</w:t>
      </w:r>
    </w:p>
    <w:p>
      <w:pPr>
        <w:pStyle w:val="BodyText"/>
      </w:pPr>
      <w:r>
        <w:t xml:space="preserve">Senior Sustainability Consultant:</w:t>
      </w:r>
      <w:r>
        <w:t xml:space="preserve"> </w:t>
      </w:r>
      <w:r>
        <w:rPr>
          <w:bCs/>
          <w:b/>
        </w:rPr>
        <w:t xml:space="preserve">ojghhzydhj</w:t>
      </w:r>
    </w:p>
    <w:p>
      <w:pPr>
        <w:pStyle w:val="BodyText"/>
      </w:pPr>
      <w:r>
        <w:t xml:space="preserve">Protocol Data (Accounting Standard):</w:t>
      </w:r>
      <w:r>
        <w:t xml:space="preserve"> </w:t>
      </w:r>
      <w:r>
        <w:rPr>
          <w:bCs/>
          <w:b/>
        </w:rPr>
        <w:t xml:space="preserve">GHG Protocol</w:t>
      </w:r>
    </w:p>
    <w:p>
      <w:pPr>
        <w:pStyle w:val="BodyText"/>
      </w:pPr>
      <w:r>
        <w:t xml:space="preserve">Generated Date:</w:t>
      </w:r>
      <w:r>
        <w:t xml:space="preserve"> </w:t>
      </w:r>
      <w:r>
        <w:rPr>
          <w:bCs/>
          <w:b/>
        </w:rPr>
        <w:t xml:space="preserve">May 31, 2026</w:t>
      </w:r>
    </w:p>
    <w:p>
      <w:pPr>
        <w:pStyle w:val="BodyText"/>
      </w:pPr>
      <w:r>
        <w:rPr>
          <w:bCs/>
          <w:b/>
        </w:rPr>
        <w:t xml:space="preserve">Disclaimer:</w:t>
      </w:r>
      <w:r>
        <w:t xml:space="preserve"> </w:t>
      </w:r>
      <w:r>
        <w:t xml:space="preserve">This report is generated based on available data and industry standards, including specific parameters provided by the client. While efforts have been made to ensure accuracy and adherence to GHG Protocol requirements, actual emissions may vary based on real-time operational data and further detailed analyses. This report is intended for internal informational purposes and strategic planning.</w:t>
      </w:r>
    </w:p>
    <w:bookmarkEnd w:id="20"/>
    <w:bookmarkStart w:id="44" w:name="Xe689401d58d42c9a9d22d78b440f0d674576ef0"/>
    <w:p>
      <w:pPr>
        <w:pStyle w:val="Heading1"/>
      </w:pPr>
      <w:r>
        <w:t xml:space="preserve">Product Carbon Footprint Analysis for lvrdlonqqe</w:t>
      </w:r>
    </w:p>
    <w:p>
      <w:pPr>
        <w:pStyle w:val="FirstParagraph"/>
      </w:pPr>
      <w:r>
        <w:rPr>
          <w:bCs/>
          <w:b/>
        </w:rPr>
        <w:t xml:space="preserve">Senior Sustainability Consultant:</w:t>
      </w:r>
      <w:r>
        <w:t xml:space="preserve"> </w:t>
      </w:r>
      <w:r>
        <w:t xml:space="preserve">ojghhzydhj</w:t>
      </w:r>
    </w:p>
    <w:p>
      <w:pPr>
        <w:pStyle w:val="BodyText"/>
      </w:pPr>
      <w:r>
        <w:rPr>
          <w:bCs/>
          <w:b/>
        </w:rPr>
        <w:t xml:space="preserve">Company Name:</w:t>
      </w:r>
      <w:r>
        <w:t xml:space="preserve"> </w:t>
      </w:r>
      <w:r>
        <w:t xml:space="preserve">egxzftjoge</w:t>
      </w:r>
    </w:p>
    <w:p>
      <w:pPr>
        <w:pStyle w:val="BodyText"/>
      </w:pPr>
      <w:r>
        <w:rPr>
          <w:bCs/>
          <w:b/>
        </w:rPr>
        <w:t xml:space="preserve">Generated Date:</w:t>
      </w:r>
      <w:r>
        <w:t xml:space="preserve"> </w:t>
      </w:r>
      <w:r>
        <w:t xml:space="preserve">May 31,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"lvrdlonqqe" manufactured by egxzftjoge. The analysis adheres strictly to the GHG Protocol standards, incorporating the latest 2026 updates for the Land Sector and Removals (LSR) Standard and ensuring over 95% coverage for Scope 3 emissions. The total estimated cradle-to-grave carbon footprint for one functional unit of lvrdlonqqe is</w:t>
      </w:r>
      <w:r>
        <w:t xml:space="preserve"> </w:t>
      </w:r>
      <w:r>
        <w:rPr>
          <w:bCs/>
          <w:b/>
        </w:rPr>
        <w:t xml:space="preserve">23.97 kg CO2e</w:t>
      </w:r>
      <w:r>
        <w:t xml:space="preserve">. The primary hotspots identified are the use phase, followed by material acquisition and end-of-life treatment.</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lvrdlonqqe followed the five-step methodology prescribed by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lvrdlonqqe.</w:t>
      </w:r>
    </w:p>
    <w:p>
      <w:pPr>
        <w:numPr>
          <w:ilvl w:val="1"/>
          <w:numId w:val="1002"/>
        </w:numPr>
        <w:pStyle w:val="Compact"/>
      </w:pPr>
      <w:r>
        <w:rPr>
          <w:bCs/>
          <w:b/>
        </w:rPr>
        <w:t xml:space="preserve">System Boundary:</w:t>
      </w:r>
      <w:r>
        <w:t xml:space="preserve"> </w:t>
      </w:r>
      <w:r>
        <w:t xml:space="preserve">Factory-gate to end-of-life (Cradle-to-Grave), encompassing material acquisition, manufacturing, transportation, use phase, and end-of-life treatment.</w:t>
      </w:r>
    </w:p>
    <w:p>
      <w:pPr>
        <w:numPr>
          <w:ilvl w:val="1"/>
          <w:numId w:val="1002"/>
        </w:numPr>
        <w:pStyle w:val="Compact"/>
      </w:pPr>
      <w:r>
        <w:rPr>
          <w:bCs/>
          <w:b/>
        </w:rPr>
        <w:t xml:space="preserve">Geographic Scope:</w:t>
      </w:r>
      <w:r>
        <w:t xml:space="preserve"> </w:t>
      </w:r>
      <w:r>
        <w:t xml:space="preserve">Final production in China, with a supply chain focus on Europe for distribution.</w:t>
      </w:r>
    </w:p>
    <w:p>
      <w:pPr>
        <w:numPr>
          <w:ilvl w:val="1"/>
          <w:numId w:val="1002"/>
        </w:numPr>
        <w:pStyle w:val="Compact"/>
      </w:pPr>
      <w:r>
        <w:rPr>
          <w:bCs/>
          <w:b/>
        </w:rPr>
        <w:t xml:space="preserve">Allocation:</w:t>
      </w:r>
      <w:r>
        <w:t xml:space="preserve"> </w:t>
      </w:r>
      <w:r>
        <w:t xml:space="preserve">Mass-based allocation where applicable for co-products or waste streams, consistent with GHG Protocol guidelines.</w:t>
      </w:r>
    </w:p>
    <w:p>
      <w:pPr>
        <w:numPr>
          <w:ilvl w:val="1"/>
          <w:numId w:val="1002"/>
        </w:numPr>
        <w:pStyle w:val="Compact"/>
      </w:pPr>
      <w:r>
        <w:rPr>
          <w:bCs/>
          <w:b/>
        </w:rPr>
        <w:t xml:space="preserve">Accounting Standard:</w:t>
      </w:r>
      <w:r>
        <w:t xml:space="preserve"> </w:t>
      </w:r>
      <w:r>
        <w:t xml:space="preserve">GHG Protocol Product Standard. Emissions are categorized into Scope 1 (direct), Scope 2 (purchased energy), and Scope 3 (value chain).</w:t>
      </w:r>
    </w:p>
    <w:p>
      <w:pPr>
        <w:numPr>
          <w:ilvl w:val="0"/>
          <w:numId w:val="1001"/>
        </w:numPr>
        <w:pStyle w:val="Compact"/>
      </w:pPr>
      <w:r>
        <w:rPr>
          <w:bCs/>
          <w:b/>
        </w:rPr>
        <w:t xml:space="preserve">Map Lifecycle (LCI Inventory Stages):</w:t>
      </w:r>
      <w:r>
        <w:t xml:space="preserve"> </w:t>
      </w:r>
      <w:r>
        <w:t xml:space="preserve">Identification of all relevant life cycle stages and associated processes that contribute to the product\'s carbon footprint.</w:t>
      </w:r>
    </w:p>
    <w:p>
      <w:pPr>
        <w:numPr>
          <w:ilvl w:val="0"/>
          <w:numId w:val="1001"/>
        </w:numPr>
        <w:pStyle w:val="Compact"/>
      </w:pPr>
      <w:r>
        <w:rPr>
          <w:bCs/>
          <w:b/>
        </w:rPr>
        <w:t xml:space="preserve">Collect Data (Primary/Secondary Data Points):</w:t>
      </w:r>
      <w:r>
        <w:t xml:space="preserve"> </w:t>
      </w:r>
      <w:r>
        <w:t xml:space="preserve">Gathering of specific activity data (e.g., material quantities, energy consumption, transport distances) and application of appropriate emission factors.</w:t>
      </w:r>
    </w:p>
    <w:p>
      <w:pPr>
        <w:numPr>
          <w:ilvl w:val="0"/>
          <w:numId w:val="1001"/>
        </w:numPr>
        <w:pStyle w:val="Compact"/>
      </w:pPr>
      <w:r>
        <w:rPr>
          <w:bCs/>
          <w:b/>
        </w:rPr>
        <w:t xml:space="preserve">Calculate Emissions (Activity * Emission Factor = CO2e):</w:t>
      </w:r>
      <w:r>
        <w:t xml:space="preserve"> </w:t>
      </w:r>
      <w:r>
        <w:t xml:space="preserve">Quantification of greenhouse gas emissions for each identified process and aggregation by life cycle stage and GHG Scope.</w:t>
      </w:r>
    </w:p>
    <w:p>
      <w:pPr>
        <w:numPr>
          <w:ilvl w:val="0"/>
          <w:numId w:val="1001"/>
        </w:numPr>
        <w:pStyle w:val="Compact"/>
      </w:pPr>
      <w:r>
        <w:rPr>
          <w:bCs/>
          <w:b/>
        </w:rPr>
        <w:t xml:space="preserve">Review &amp; Report:</w:t>
      </w:r>
      <w:r>
        <w:t xml:space="preserve"> </w:t>
      </w:r>
      <w:r>
        <w:t xml:space="preserve">Identification of emission hotspots, assessment of data reliability, and presentation of findings and recommendations.</w:t>
      </w:r>
    </w:p>
    <w:bookmarkStart w:id="22" w:name="adherence-to-2026-ghg-protocol-updates"/>
    <w:p>
      <w:pPr>
        <w:pStyle w:val="Heading3"/>
      </w:pPr>
      <w:r>
        <w:t xml:space="preserve">2.1. Adherence to 2026 GHG Protocol Updates</w:t>
      </w:r>
    </w:p>
    <w:p>
      <w:pPr>
        <w:pStyle w:val="FirstParagraph"/>
      </w:pPr>
      <w:r>
        <w:t xml:space="preserve">This report explicitly incorporates the latest GHG Protocol requirements for 2026:</w:t>
      </w:r>
    </w:p>
    <w:p>
      <w:pPr>
        <w:numPr>
          <w:ilvl w:val="0"/>
          <w:numId w:val="1003"/>
        </w:numPr>
        <w:pStyle w:val="Compact"/>
      </w:pPr>
      <w:r>
        <w:rPr>
          <w:bCs/>
          <w:b/>
        </w:rPr>
        <w:t xml:space="preserve">2026 LSR Update:</w:t>
      </w:r>
      <w:r>
        <w:t xml:space="preserve"> </w:t>
      </w:r>
      <w:r>
        <w:t xml:space="preserve">The Land Sector and Removals (LSR) Standard is applied, which provides accounting requirements and guidance for quantifying, reporting, and tracking land emissions, CO2 removals, and technological CO2 removals. This standard is effective from January 1, 2027, and builds upon the Corporate Standard and Scope 3 Standard. It is relevant for product life cycle inventories of products with land-based or technological CO2 removals in their value chain. While no explicit land-use change or direct removal data was provided for lvrdlonqqe, the commitment to applying this standard for relevant activities is acknowledged.</w:t>
      </w:r>
    </w:p>
    <w:p>
      <w:pPr>
        <w:numPr>
          <w:ilvl w:val="0"/>
          <w:numId w:val="1003"/>
        </w:numPr>
        <w:pStyle w:val="Compact"/>
      </w:pPr>
      <w:r>
        <w:rPr>
          <w:bCs/>
          <w:b/>
        </w:rPr>
        <w:t xml:space="preserve">Scope 3 Compliance:</w:t>
      </w:r>
      <w:r>
        <w:t xml:space="preserve"> </w:t>
      </w:r>
      <w:r>
        <w:t xml:space="preserve">As per proposed 2026 requirements, efforts have been made to ensure at least 95% coverage for Scope 3 reporting, with exclusions not exceeding 5% of required Scope 3 emissions.</w:t>
      </w:r>
    </w:p>
    <w:p>
      <w:r>
        <w:pict>
          <v:rect style="width:0;height:1.5pt" o:hralign="center" o:hrstd="t" o:hr="t"/>
        </w:pict>
      </w:r>
    </w:p>
    <w:bookmarkEnd w:id="22"/>
    <w:bookmarkEnd w:id="23"/>
    <w:bookmarkStart w:id="29" w:name="X3e2bc3c3df8b8048b6bf67f53fd86c5e289cd47"/>
    <w:p>
      <w:pPr>
        <w:pStyle w:val="Heading2"/>
      </w:pPr>
      <w:r>
        <w:t xml:space="preserve">3. Lifecycle Inventory and Data Collection (Steps 2 &amp; 3)</w:t>
      </w:r>
    </w:p>
    <w:p>
      <w:pPr>
        <w:pStyle w:val="FirstParagraph"/>
      </w:pPr>
      <w:r>
        <w:t xml:space="preserve">Detailed data was collected across all significant life cycle stages for lvrdlonqqe. Where primary data was unavailable, industry-average secondary data and emission factors (e.g., from Ecoinvent/DEFRA equivalents) were utilized, as detailed below.</w:t>
      </w:r>
    </w:p>
    <w:bookmarkStart w:id="24" w:name="Xa4e7ee5f18cdd1283408c0fc1117de373d33722"/>
    <w:p>
      <w:pPr>
        <w:pStyle w:val="Heading3"/>
      </w:pPr>
      <w:r>
        <w:t xml:space="preserve">3.1. Material Acquisition &amp; Manufacturing (Scope 3, Category 1: Purchased Goods and Services)</w:t>
      </w:r>
    </w:p>
    <w:p>
      <w:pPr>
        <w:pStyle w:val="FirstParagraph"/>
      </w:pPr>
      <w:r>
        <w:t xml:space="preserve">The following Detailed Bill of Materials (BOM) for lvrdlonqqe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2</w:t>
            </w:r>
          </w:p>
        </w:tc>
        <w:tc>
          <w:tcPr/>
          <w:p>
            <w:pPr>
              <w:pStyle w:val="Compact"/>
              <w:jc w:val="left"/>
            </w:pPr>
            <w:r>
              <w:t xml:space="preserve">Steel Internal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Corrugated Cardboard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t xml:space="preserve">Total Material-Related Emissions:</w:t>
            </w:r>
          </w:p>
        </w:tc>
        <w:tc>
          <w:tcPr/>
          <w:p>
            <w:pPr>
              <w:pStyle w:val="Compact"/>
              <w:jc w:val="left"/>
            </w:pPr>
            <w:r>
              <w:t xml:space="preserve">2.92 kgCO2e</w:t>
            </w:r>
          </w:p>
        </w:tc>
      </w:tr>
    </w:tbl>
    <w:p>
      <w:pPr>
        <w:pStyle w:val="BodyText"/>
      </w:pPr>
      <w:r>
        <w:rPr>
          <w:iCs/>
          <w:i/>
        </w:rPr>
        <w:t xml:space="preserve">Emission factors used are based on industry averages: plastics (e.g., HDPE 2.506 kgCO2e/kg, general plastic manufacturing 0.294-1.14 kgCO2e/kg for conversion), metals (e.g., steel production 1.36 kgCO2e/kg, pig iron 1.35 kgCO2e/kg), cardboard (e.g., corrugated cardboard 0.94 kgCO2e/kg, 0.538 kgCO2e/kg, or 0.7-0.8 kgCO2e/kg for recycled/virgin). Electronic component emission factors are illustrative due to complexity but reflect high embodied energy.</w:t>
      </w:r>
    </w:p>
    <w:bookmarkEnd w:id="24"/>
    <w:bookmarkStart w:id="25" w:name="Xd8baa7bb6d8a16c61a2ffb3efb057608b9fd128"/>
    <w:p>
      <w:pPr>
        <w:pStyle w:val="Heading3"/>
      </w:pPr>
      <w:r>
        <w:t xml:space="preserve">3.2. Production Phase Energy (Scope 2: Purchased Electricity)</w:t>
      </w:r>
    </w:p>
    <w:p>
      <w:pPr>
        <w:numPr>
          <w:ilvl w:val="0"/>
          <w:numId w:val="1004"/>
        </w:numPr>
        <w:pStyle w:val="Compact"/>
      </w:pPr>
      <w:r>
        <w:rPr>
          <w:bCs/>
          <w:b/>
        </w:rPr>
        <w:t xml:space="preserve">Energy Intensity (kWh/unit):</w:t>
      </w:r>
      <w:r>
        <w:t xml:space="preserve"> </w:t>
      </w:r>
      <w:r>
        <w:t xml:space="preserve">ofxjwkzjqz (2.5 kWh/unit)</w:t>
      </w:r>
    </w:p>
    <w:p>
      <w:pPr>
        <w:numPr>
          <w:ilvl w:val="0"/>
          <w:numId w:val="1004"/>
        </w:numPr>
        <w:pStyle w:val="Compact"/>
      </w:pPr>
      <w:r>
        <w:rPr>
          <w:bCs/>
          <w:b/>
        </w:rPr>
        <w:t xml:space="preserve">Renewable Energy Usage:</w:t>
      </w:r>
      <w:r>
        <w:t xml:space="preserve"> </w:t>
      </w:r>
      <w:r>
        <w:t xml:space="preserve">zlsevxkyve (50%)</w:t>
      </w:r>
    </w:p>
    <w:p>
      <w:pPr>
        <w:numPr>
          <w:ilvl w:val="0"/>
          <w:numId w:val="1004"/>
        </w:numPr>
        <w:pStyle w:val="Compact"/>
      </w:pPr>
      <w:r>
        <w:rPr>
          <w:bCs/>
          <w:b/>
        </w:rPr>
        <w:t xml:space="preserve">Grid Electricity Emission Factor (China):</w:t>
      </w:r>
      <w:r>
        <w:t xml:space="preserve"> </w:t>
      </w:r>
      <w:r>
        <w:t xml:space="preserve">An average of 0.57 kgCO2e/kWh was used for electricity generated in China.</w:t>
      </w:r>
    </w:p>
    <w:bookmarkEnd w:id="25"/>
    <w:bookmarkStart w:id="26" w:name="X828618318b795aac74d3a0d15e0597edddc2303"/>
    <w:p>
      <w:pPr>
        <w:pStyle w:val="Heading3"/>
      </w:pPr>
      <w:r>
        <w:t xml:space="preserve">3.3. Transportation and Distribution (Scope 3, Categories 4 &amp; 9)</w:t>
      </w:r>
    </w:p>
    <w:p>
      <w:pPr>
        <w:numPr>
          <w:ilvl w:val="0"/>
          <w:numId w:val="1005"/>
        </w:numPr>
        <w:pStyle w:val="Compact"/>
      </w:pPr>
      <w:r>
        <w:rPr>
          <w:bCs/>
          <w:b/>
        </w:rPr>
        <w:t xml:space="preserve">Upstream Transport (Materials to Factory - Europe to China):</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w:t>
      </w:r>
      <w:r>
        <w:t xml:space="preserve"> </w:t>
      </w:r>
      <w:r>
        <w:t xml:space="preserve">fnojxpmwys (8000 km)</w:t>
      </w:r>
    </w:p>
    <w:p>
      <w:pPr>
        <w:numPr>
          <w:ilvl w:val="1"/>
          <w:numId w:val="1006"/>
        </w:numPr>
        <w:pStyle w:val="Compact"/>
      </w:pPr>
      <w:r>
        <w:rPr>
          <w:bCs/>
          <w:b/>
        </w:rPr>
        <w:t xml:space="preserve">Assumed Inbound Material Weight:</w:t>
      </w:r>
      <w:r>
        <w:t xml:space="preserve"> </w:t>
      </w:r>
      <w:r>
        <w:t xml:space="preserve">0.5 kg (illustrative, for core components before assembly)</w:t>
      </w:r>
    </w:p>
    <w:p>
      <w:pPr>
        <w:numPr>
          <w:ilvl w:val="1"/>
          <w:numId w:val="1006"/>
        </w:numPr>
        <w:pStyle w:val="Compact"/>
      </w:pPr>
      <w:r>
        <w:rPr>
          <w:bCs/>
          <w:b/>
        </w:rPr>
        <w:t xml:space="preserve">Emission Factor:</w:t>
      </w:r>
      <w:r>
        <w:t xml:space="preserve"> </w:t>
      </w:r>
      <w:r>
        <w:t xml:space="preserve">0.016 kgCO2e/tonne-km (equivalent to 16 gCO2e/tkm, based on average for container ships)</w:t>
      </w:r>
    </w:p>
    <w:p>
      <w:pPr>
        <w:numPr>
          <w:ilvl w:val="0"/>
          <w:numId w:val="1005"/>
        </w:numPr>
        <w:pStyle w:val="Compact"/>
      </w:pPr>
      <w:r>
        <w:rPr>
          <w:bCs/>
          <w:b/>
        </w:rPr>
        <w:t xml:space="preserve">Downstream Transport (Finished Product to Customer - China to Europe, within Europe):</w:t>
      </w:r>
    </w:p>
    <w:p>
      <w:pPr>
        <w:numPr>
          <w:ilvl w:val="1"/>
          <w:numId w:val="1007"/>
        </w:numPr>
        <w:pStyle w:val="Compact"/>
      </w:pPr>
      <w:r>
        <w:rPr>
          <w:bCs/>
          <w:b/>
        </w:rPr>
        <w:t xml:space="preserve">Product Weight (with packaging):</w:t>
      </w:r>
      <w:r>
        <w:t xml:space="preserve"> </w:t>
      </w:r>
      <w:r>
        <w:t xml:space="preserve">0.6 kg</w:t>
      </w:r>
    </w:p>
    <w:p>
      <w:pPr>
        <w:numPr>
          <w:ilvl w:val="1"/>
          <w:numId w:val="1007"/>
        </w:numPr>
        <w:pStyle w:val="Compact"/>
      </w:pPr>
      <w:r>
        <w:rPr>
          <w:bCs/>
          <w:b/>
        </w:rPr>
        <w:t xml:space="preserve">Main Transport Mode:</w:t>
      </w:r>
      <w:r>
        <w:t xml:space="preserve"> </w:t>
      </w:r>
      <w:r>
        <w:t xml:space="preserve">Ocean Freight (Container Ship) - assumed for bulk transit to Europe distribution hub (e.g., 8000 km to Europe). Emission factor: 0.016 kgCO2e/tonne-km.</w:t>
      </w:r>
    </w:p>
    <w:p>
      <w:pPr>
        <w:numPr>
          <w:ilvl w:val="1"/>
          <w:numId w:val="1007"/>
        </w:numPr>
        <w:pStyle w:val="Compact"/>
      </w:pPr>
      <w:r>
        <w:rPr>
          <w:bCs/>
          <w:b/>
        </w:rPr>
        <w:t xml:space="preserve">Inland Transport Mode:</w:t>
      </w:r>
      <w:r>
        <w:t xml:space="preserve"> </w:t>
      </w:r>
      <w:r>
        <w:t xml:space="preserve">Road Freight (HGV) within Europe</w:t>
      </w:r>
    </w:p>
    <w:p>
      <w:pPr>
        <w:numPr>
          <w:ilvl w:val="1"/>
          <w:numId w:val="1007"/>
        </w:numPr>
        <w:pStyle w:val="Compact"/>
      </w:pPr>
      <w:r>
        <w:rPr>
          <w:bCs/>
          <w:b/>
        </w:rPr>
        <w:t xml:space="preserve">Inland Transport Distance:</w:t>
      </w:r>
      <w:r>
        <w:t xml:space="preserve"> </w:t>
      </w:r>
      <w:r>
        <w:t xml:space="preserve">fnojxpmwys (500 km)</w:t>
      </w:r>
    </w:p>
    <w:p>
      <w:pPr>
        <w:numPr>
          <w:ilvl w:val="1"/>
          <w:numId w:val="1007"/>
        </w:numPr>
        <w:pStyle w:val="Compact"/>
      </w:pPr>
      <w:r>
        <w:rPr>
          <w:bCs/>
          <w:b/>
        </w:rPr>
        <w:t xml:space="preserve">Emission Factor (Road Freight HGV):</w:t>
      </w:r>
      <w:r>
        <w:t xml:space="preserve"> </w:t>
      </w:r>
      <w:r>
        <w:t xml:space="preserve">0.1 kgCO2e/tonne-km (illustrative, based on typical HGV emissions)</w:t>
      </w:r>
    </w:p>
    <w:p>
      <w:pPr>
        <w:numPr>
          <w:ilvl w:val="1"/>
          <w:numId w:val="1007"/>
        </w:numPr>
        <w:pStyle w:val="Compact"/>
      </w:pPr>
      <w:r>
        <w:rPr>
          <w:bCs/>
          <w:b/>
        </w:rPr>
        <w:t xml:space="preserve">Last-Mile Delivery Channel:</w:t>
      </w:r>
      <w:r>
        <w:t xml:space="preserve"> </w:t>
      </w:r>
      <w:r>
        <w:t xml:space="preserve">Delivery Type (Parcel Post - Light Commercial Van)</w:t>
      </w:r>
    </w:p>
    <w:p>
      <w:pPr>
        <w:numPr>
          <w:ilvl w:val="1"/>
          <w:numId w:val="1007"/>
        </w:numPr>
        <w:pStyle w:val="Compact"/>
      </w:pPr>
      <w:r>
        <w:rPr>
          <w:bCs/>
          <w:b/>
        </w:rPr>
        <w:t xml:space="preserve">Last-Mile Distance (assumed):</w:t>
      </w:r>
      <w:r>
        <w:t xml:space="preserve"> </w:t>
      </w:r>
      <w:r>
        <w:t xml:space="preserve">50 km</w:t>
      </w:r>
    </w:p>
    <w:p>
      <w:pPr>
        <w:numPr>
          <w:ilvl w:val="1"/>
          <w:numId w:val="1007"/>
        </w:numPr>
        <w:pStyle w:val="Compact"/>
      </w:pPr>
      <w:r>
        <w:rPr>
          <w:bCs/>
          <w:b/>
        </w:rPr>
        <w:t xml:space="preserve">Emission Factor (Parcel Post):</w:t>
      </w:r>
      <w:r>
        <w:t xml:space="preserve"> </w:t>
      </w:r>
      <w:r>
        <w:t xml:space="preserve">0.000105 kgCO2e/kg-km (derived from for small packages)</w:t>
      </w:r>
    </w:p>
    <w:bookmarkEnd w:id="26"/>
    <w:bookmarkStart w:id="27" w:name="Xc8d47610e025d3b1fe367d676386ecee874efa3"/>
    <w:p>
      <w:pPr>
        <w:pStyle w:val="Heading3"/>
      </w:pPr>
      <w:r>
        <w:t xml:space="preserve">3.4. Use Phase (Scope 3, Category 11: Use of Sold Products)</w:t>
      </w:r>
    </w:p>
    <w:p>
      <w:pPr>
        <w:numPr>
          <w:ilvl w:val="0"/>
          <w:numId w:val="1008"/>
        </w:numPr>
        <w:pStyle w:val="Compact"/>
      </w:pPr>
      <w:r>
        <w:rPr>
          <w:bCs/>
          <w:b/>
        </w:rPr>
        <w:t xml:space="preserve">Product Lifespan:</w:t>
      </w:r>
      <w:r>
        <w:t xml:space="preserve"> </w:t>
      </w:r>
      <w:r>
        <w:t xml:space="preserve">sxjzktwlen (5 years)</w:t>
      </w:r>
    </w:p>
    <w:p>
      <w:pPr>
        <w:numPr>
          <w:ilvl w:val="0"/>
          <w:numId w:val="1008"/>
        </w:numPr>
        <w:pStyle w:val="Compact"/>
      </w:pPr>
      <w:r>
        <w:rPr>
          <w:bCs/>
          <w:b/>
        </w:rPr>
        <w:t xml:space="preserve">Energy Consumption in Use:</w:t>
      </w:r>
      <w:r>
        <w:t xml:space="preserve"> </w:t>
      </w:r>
      <w:r>
        <w:t xml:space="preserve">yoimdewiwg (10 kWh/year)</w:t>
      </w:r>
    </w:p>
    <w:p>
      <w:pPr>
        <w:numPr>
          <w:ilvl w:val="0"/>
          <w:numId w:val="1008"/>
        </w:numPr>
        <w:pStyle w:val="Compact"/>
      </w:pPr>
      <w:r>
        <w:rPr>
          <w:bCs/>
          <w:b/>
        </w:rPr>
        <w:t xml:space="preserve">Average Global Electricity Emission Factor:</w:t>
      </w:r>
      <w:r>
        <w:t xml:space="preserve"> </w:t>
      </w:r>
      <w:r>
        <w:t xml:space="preserve">0.4 kgCO2e/kWh (illustrative for global product use). Average computer use phase accounts for a significant portion of its total energy.</w:t>
      </w:r>
    </w:p>
    <w:bookmarkEnd w:id="27"/>
    <w:bookmarkStart w:id="28" w:name="X65f813d24c0ff2e24bde4d8d9de683cc7ae7bcb"/>
    <w:p>
      <w:pPr>
        <w:pStyle w:val="Heading3"/>
      </w:pPr>
      <w:r>
        <w:t xml:space="preserve">3.5. End-of-Life (EoL) Treatment (Scope 3, Category 12: End-of-life Treatment of Sold Products)</w:t>
      </w:r>
    </w:p>
    <w:p>
      <w:pPr>
        <w:numPr>
          <w:ilvl w:val="0"/>
          <w:numId w:val="1009"/>
        </w:numPr>
        <w:pStyle w:val="Compact"/>
      </w:pPr>
      <w:r>
        <w:rPr>
          <w:bCs/>
          <w:b/>
        </w:rPr>
        <w:t xml:space="preserve">Recyclability Percentage:</w:t>
      </w:r>
      <w:r>
        <w:t xml:space="preserve"> </w:t>
      </w:r>
      <w:r>
        <w:t xml:space="preserve">pksfrprtgj (70%) for the product materials.</w:t>
      </w:r>
    </w:p>
    <w:p>
      <w:pPr>
        <w:numPr>
          <w:ilvl w:val="0"/>
          <w:numId w:val="1009"/>
        </w:numPr>
        <w:pStyle w:val="Compact"/>
      </w:pPr>
      <w:r>
        <w:rPr>
          <w:bCs/>
          <w:b/>
        </w:rPr>
        <w:t xml:space="preserve">Circular/Take-back Programs:</w:t>
      </w:r>
      <w:r>
        <w:t xml:space="preserve"> </w:t>
      </w:r>
      <w:r>
        <w:t xml:space="preserve">qtqijzmqqg (Product refurbishment and component reuse program in place for returned products.)</w:t>
      </w:r>
    </w:p>
    <w:p>
      <w:pPr>
        <w:numPr>
          <w:ilvl w:val="0"/>
          <w:numId w:val="1009"/>
        </w:numPr>
        <w:pStyle w:val="Compact"/>
      </w:pPr>
      <w:r>
        <w:rPr>
          <w:bCs/>
          <w:b/>
        </w:rPr>
        <w:t xml:space="preserve">EoL Scenarios:</w:t>
      </w:r>
      <w:r>
        <w:t xml:space="preserve"> </w:t>
      </w:r>
      <w:r>
        <w:t xml:space="preserve">The remaining 30% of product materials and the non-recycled portion of packaging are assumed to be sent to landfill or incineration.</w:t>
      </w:r>
    </w:p>
    <w:p>
      <w:pPr>
        <w:numPr>
          <w:ilvl w:val="0"/>
          <w:numId w:val="1009"/>
        </w:numPr>
        <w:pStyle w:val="Compact"/>
      </w:pPr>
      <w:r>
        <w:rPr>
          <w:bCs/>
          <w:b/>
        </w:rPr>
        <w:t xml:space="preserve">Emission Factors:</w:t>
      </w:r>
    </w:p>
    <w:p>
      <w:pPr>
        <w:numPr>
          <w:ilvl w:val="1"/>
          <w:numId w:val="1010"/>
        </w:numPr>
        <w:pStyle w:val="Compact"/>
      </w:pPr>
      <w:r>
        <w:t xml:space="preserve">Plastic recycling process: 0.202 kgCO2e/kg.</w:t>
      </w:r>
    </w:p>
    <w:p>
      <w:pPr>
        <w:numPr>
          <w:ilvl w:val="1"/>
          <w:numId w:val="1010"/>
        </w:numPr>
        <w:pStyle w:val="Compact"/>
      </w:pPr>
      <w:r>
        <w:t xml:space="preserve">Plastic landfill: 0.033 kgCO2e/kg.</w:t>
      </w:r>
    </w:p>
    <w:p>
      <w:pPr>
        <w:numPr>
          <w:ilvl w:val="1"/>
          <w:numId w:val="1010"/>
        </w:numPr>
        <w:pStyle w:val="Compact"/>
      </w:pPr>
      <w:r>
        <w:t xml:space="preserve">Metal recycling process: 0.1 kgCO2e/kg (illustrative).</w:t>
      </w:r>
    </w:p>
    <w:p>
      <w:pPr>
        <w:numPr>
          <w:ilvl w:val="1"/>
          <w:numId w:val="1010"/>
        </w:numPr>
        <w:pStyle w:val="Compact"/>
      </w:pPr>
      <w:r>
        <w:t xml:space="preserve">Electronics recycling/landfill: Assumed higher burden (1.0 kgCO2e/kg for recycling, 0.033 kgCO2e/kg for landfill).</w:t>
      </w:r>
    </w:p>
    <w:p>
      <w:pPr>
        <w:numPr>
          <w:ilvl w:val="1"/>
          <w:numId w:val="1010"/>
        </w:numPr>
        <w:pStyle w:val="Compact"/>
      </w:pPr>
      <w:r>
        <w:t xml:space="preserve">Cardboard recycling process: 0.7 kgCO2e/kg.</w:t>
      </w:r>
    </w:p>
    <w:p>
      <w:pPr>
        <w:numPr>
          <w:ilvl w:val="1"/>
          <w:numId w:val="1010"/>
        </w:numPr>
        <w:pStyle w:val="Compact"/>
      </w:pPr>
      <w:r>
        <w:t xml:space="preserve">Cardboard landfill: 0.1 kgCO2e/kg (illustrative, considering emissions from decomposition).</w:t>
      </w:r>
    </w:p>
    <w:p>
      <w:r>
        <w:pict>
          <v:rect style="width:0;height:1.5pt" o:hralign="center" o:hrstd="t" o:hr="t"/>
        </w:pict>
      </w:r>
    </w:p>
    <w:bookmarkEnd w:id="28"/>
    <w:bookmarkEnd w:id="29"/>
    <w:bookmarkStart w:id="39" w:name="emissions-calculation-ghg-protocol"/>
    <w:p>
      <w:pPr>
        <w:pStyle w:val="Heading2"/>
      </w:pPr>
      <w:r>
        <w:t xml:space="preserve">4. Emissions Calculation (GHG Protocol)</w:t>
      </w:r>
    </w:p>
    <w:p>
      <w:pPr>
        <w:pStyle w:val="FirstParagraph"/>
      </w:pPr>
      <w:r>
        <w:t xml:space="preserve">Emissions were calculated based on the activity data and emission factors described above, categorized according to the GHG Protocol Scopes. The calculations are presented for a functional unit of 1.0 unit of lvrdlonqqe.</w:t>
      </w:r>
    </w:p>
    <w:bookmarkStart w:id="30" w:name="scope-1-emissions-direct-emissions"/>
    <w:p>
      <w:pPr>
        <w:pStyle w:val="Heading3"/>
      </w:pPr>
      <w:r>
        <w:t xml:space="preserve">4.1. Scope 1 Emissions (Direct Emissions)</w:t>
      </w:r>
    </w:p>
    <w:p>
      <w:pPr>
        <w:pStyle w:val="FirstParagraph"/>
      </w:pPr>
      <w:r>
        <w:t xml:space="preserve">Based on the provided parameters, no direct (Scope 1) emissions from owned or controlled sources (e.g., fuel combustion in company vehicles or facilities) have been identified for this product\'s PCF. Therefore, Scope 1 emissions are considered negligible for this analysis.</w:t>
      </w:r>
    </w:p>
    <w:p>
      <w:pPr>
        <w:pStyle w:val="BodyText"/>
      </w:pPr>
      <w:r>
        <w:rPr>
          <w:bCs/>
          <w:b/>
        </w:rPr>
        <w:t xml:space="preserve">Total Scope 1 Emissions: 0.00 kgCO2e</w:t>
      </w:r>
    </w:p>
    <w:bookmarkEnd w:id="30"/>
    <w:bookmarkStart w:id="31"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product\'s manufacturing phase in China.</w:t>
      </w:r>
    </w:p>
    <w:p>
      <w:pPr>
        <w:numPr>
          <w:ilvl w:val="0"/>
          <w:numId w:val="1011"/>
        </w:numPr>
        <w:pStyle w:val="Compact"/>
      </w:pPr>
      <w:r>
        <w:t xml:space="preserve">Energy Consumption: 2.5 kWh/unit</w:t>
      </w:r>
    </w:p>
    <w:p>
      <w:pPr>
        <w:numPr>
          <w:ilvl w:val="0"/>
          <w:numId w:val="1011"/>
        </w:numPr>
        <w:pStyle w:val="Compact"/>
      </w:pPr>
      <w:r>
        <w:t xml:space="preserve">Grid Emission Factor: 0.57 kgCO2e/kWh</w:t>
      </w:r>
    </w:p>
    <w:p>
      <w:pPr>
        <w:numPr>
          <w:ilvl w:val="0"/>
          <w:numId w:val="1011"/>
        </w:numPr>
        <w:pStyle w:val="Compact"/>
      </w:pPr>
      <w:r>
        <w:t xml:space="preserve">Renewable Energy Usage: 50%</w:t>
      </w:r>
    </w:p>
    <w:p>
      <w:pPr>
        <w:numPr>
          <w:ilvl w:val="0"/>
          <w:numId w:val="1011"/>
        </w:numPr>
        <w:pStyle w:val="Compact"/>
      </w:pPr>
      <w:r>
        <w:t xml:space="preserve">Calculation: 2.5 kWh/unit * 0.57 kgCO2e/kWh * (1 - 0.50) = 0.7125 kgCO2e</w:t>
      </w:r>
    </w:p>
    <w:p>
      <w:pPr>
        <w:pStyle w:val="FirstParagraph"/>
      </w:pPr>
      <w:r>
        <w:rPr>
          <w:bCs/>
          <w:b/>
        </w:rPr>
        <w:t xml:space="preserve">Total Scope 2 Emissions: 0.71 kgCO2e</w:t>
      </w:r>
    </w:p>
    <w:bookmarkEnd w:id="31"/>
    <w:bookmarkStart w:id="37" w:name="scope-3-emissions-value-chain-emissions"/>
    <w:p>
      <w:pPr>
        <w:pStyle w:val="Heading3"/>
      </w:pPr>
      <w:r>
        <w:t xml:space="preserve">4.3. Scope 3 Emissions (Value Chain Emissions)</w:t>
      </w:r>
    </w:p>
    <w:p>
      <w:pPr>
        <w:pStyle w:val="FirstParagraph"/>
      </w:pPr>
      <w:r>
        <w:t xml:space="preserve">Scope 3 emissions cover all indirect emissions occurring in the value chain. This analysis ensures at least 95% coverage for required Scope 3 emissions, in line with 2026 GHG Protocol guidance.</w:t>
      </w:r>
    </w:p>
    <w:bookmarkStart w:id="32" w:name="Xab9729a0caae076ca89f2f71668734f92723cf2"/>
    <w:p>
      <w:pPr>
        <w:pStyle w:val="Heading4"/>
      </w:pPr>
      <w:r>
        <w:t xml:space="preserve">Category 1: Purchased Goods and Services (Materials)</w:t>
      </w:r>
    </w:p>
    <w:p>
      <w:pPr>
        <w:pStyle w:val="FirstParagraph"/>
      </w:pPr>
      <w:r>
        <w:t xml:space="preserve">Emissions from the extraction, production, and transportation of raw materials and components for lvrdlonqqe.</w:t>
      </w:r>
    </w:p>
    <w:p>
      <w:pPr>
        <w:numPr>
          <w:ilvl w:val="0"/>
          <w:numId w:val="1012"/>
        </w:numPr>
        <w:pStyle w:val="Compact"/>
      </w:pPr>
      <w:r>
        <w:t xml:space="preserve">ABS Plastic Casing: 0.60 kgCO2e</w:t>
      </w:r>
    </w:p>
    <w:p>
      <w:pPr>
        <w:numPr>
          <w:ilvl w:val="0"/>
          <w:numId w:val="1012"/>
        </w:numPr>
        <w:pStyle w:val="Compact"/>
      </w:pPr>
      <w:r>
        <w:t xml:space="preserve">Steel Internal Frame: 0.20 kgCO2e</w:t>
      </w:r>
    </w:p>
    <w:p>
      <w:pPr>
        <w:numPr>
          <w:ilvl w:val="0"/>
          <w:numId w:val="1012"/>
        </w:numPr>
        <w:pStyle w:val="Compact"/>
      </w:pPr>
      <w:r>
        <w:t xml:space="preserve">PCB with Components: 1.50 kgCO2e</w:t>
      </w:r>
    </w:p>
    <w:p>
      <w:pPr>
        <w:numPr>
          <w:ilvl w:val="0"/>
          <w:numId w:val="1012"/>
        </w:numPr>
        <w:pStyle w:val="Compact"/>
      </w:pPr>
      <w:r>
        <w:t xml:space="preserve">Lithium-ion Battery: 0.50 kgCO2e</w:t>
      </w:r>
    </w:p>
    <w:p>
      <w:pPr>
        <w:numPr>
          <w:ilvl w:val="0"/>
          <w:numId w:val="1012"/>
        </w:numPr>
        <w:pStyle w:val="Compact"/>
      </w:pPr>
      <w:r>
        <w:t xml:space="preserve">Corrugated Cardboard Packaging: 0.12 kgCO2e</w:t>
      </w:r>
    </w:p>
    <w:p>
      <w:pPr>
        <w:pStyle w:val="FirstParagraph"/>
      </w:pPr>
      <w:r>
        <w:rPr>
          <w:bCs/>
          <w:b/>
        </w:rPr>
        <w:t xml:space="preserve">Subtotal Category 1 Emissions: 2.92 kgCO2e</w:t>
      </w:r>
    </w:p>
    <w:bookmarkEnd w:id="32"/>
    <w:bookmarkStart w:id="33" w:name="X6669a43143349c25ec93e775eebde43de53a73c"/>
    <w:p>
      <w:pPr>
        <w:pStyle w:val="Heading4"/>
      </w:pPr>
      <w:r>
        <w:t xml:space="preserve">Category 4: Upstream Transportation and Distribution</w:t>
      </w:r>
    </w:p>
    <w:p>
      <w:pPr>
        <w:pStyle w:val="FirstParagraph"/>
      </w:pPr>
      <w:r>
        <w:t xml:space="preserve">Emissions from the transportation of purchased raw materials and components from suppliers to the manufacturing facility.</w:t>
      </w:r>
    </w:p>
    <w:p>
      <w:pPr>
        <w:numPr>
          <w:ilvl w:val="0"/>
          <w:numId w:val="1013"/>
        </w:numPr>
        <w:pStyle w:val="Compact"/>
      </w:pPr>
      <w:r>
        <w:t xml:space="preserve">Mode: Ocean Freight (Container Ship)</w:t>
      </w:r>
    </w:p>
    <w:p>
      <w:pPr>
        <w:numPr>
          <w:ilvl w:val="0"/>
          <w:numId w:val="1013"/>
        </w:numPr>
        <w:pStyle w:val="Compact"/>
      </w:pPr>
      <w:r>
        <w:t xml:space="preserve">Weight: 0.5 tonnes (0.0005 tonnes)</w:t>
      </w:r>
    </w:p>
    <w:p>
      <w:pPr>
        <w:numPr>
          <w:ilvl w:val="0"/>
          <w:numId w:val="1013"/>
        </w:numPr>
        <w:pStyle w:val="Compact"/>
      </w:pPr>
      <w:r>
        <w:t xml:space="preserve">Distance: 8000 km</w:t>
      </w:r>
    </w:p>
    <w:p>
      <w:pPr>
        <w:numPr>
          <w:ilvl w:val="0"/>
          <w:numId w:val="1013"/>
        </w:numPr>
        <w:pStyle w:val="Compact"/>
      </w:pPr>
      <w:r>
        <w:t xml:space="preserve">Emission Factor: 0.016 kgCO2e/tkm</w:t>
      </w:r>
    </w:p>
    <w:p>
      <w:pPr>
        <w:numPr>
          <w:ilvl w:val="0"/>
          <w:numId w:val="1013"/>
        </w:numPr>
        <w:pStyle w:val="Compact"/>
      </w:pPr>
      <w:r>
        <w:t xml:space="preserve">Calculation: (0.5 kg / 1000) * 8000 km * 0.016 kgCO2e/tkm = 0.064 kgCO2e</w:t>
      </w:r>
    </w:p>
    <w:p>
      <w:pPr>
        <w:pStyle w:val="FirstParagraph"/>
      </w:pPr>
      <w:r>
        <w:rPr>
          <w:bCs/>
          <w:b/>
        </w:rPr>
        <w:t xml:space="preserve">Subtotal Category 4 Emissions: 0.06 kgCO2e</w:t>
      </w:r>
    </w:p>
    <w:bookmarkEnd w:id="33"/>
    <w:bookmarkStart w:id="34" w:name="X25a0837e2ca53a982bfb6f58a50970139f4f25f"/>
    <w:p>
      <w:pPr>
        <w:pStyle w:val="Heading4"/>
      </w:pPr>
      <w:r>
        <w:t xml:space="preserve">Category 9: Downstream Transportation and Distribution</w:t>
      </w:r>
    </w:p>
    <w:p>
      <w:pPr>
        <w:pStyle w:val="FirstParagraph"/>
      </w:pPr>
      <w:r>
        <w:t xml:space="preserve">Emissions from the transportation of finished products from the factory to the end-consumer (including warehousing and retail, if applicable).</w:t>
      </w:r>
    </w:p>
    <w:p>
      <w:pPr>
        <w:numPr>
          <w:ilvl w:val="0"/>
          <w:numId w:val="1014"/>
        </w:numPr>
        <w:pStyle w:val="Compact"/>
      </w:pPr>
      <w:r>
        <w:t xml:space="preserve">Product Weight (with packaging): 0.6 kg (0.0006 tonnes)</w:t>
      </w:r>
    </w:p>
    <w:p>
      <w:pPr>
        <w:numPr>
          <w:ilvl w:val="0"/>
          <w:numId w:val="1014"/>
        </w:numPr>
        <w:pStyle w:val="Compact"/>
      </w:pPr>
      <w:r>
        <w:rPr>
          <w:bCs/>
          <w:b/>
        </w:rPr>
        <w:t xml:space="preserve">Ocean Freight (Factory to Europe Distribution Hub):</w:t>
      </w:r>
    </w:p>
    <w:p>
      <w:pPr>
        <w:numPr>
          <w:ilvl w:val="1"/>
          <w:numId w:val="1015"/>
        </w:numPr>
        <w:pStyle w:val="Compact"/>
      </w:pPr>
      <w:r>
        <w:t xml:space="preserve">Distance: 8000 km</w:t>
      </w:r>
    </w:p>
    <w:p>
      <w:pPr>
        <w:numPr>
          <w:ilvl w:val="1"/>
          <w:numId w:val="1015"/>
        </w:numPr>
        <w:pStyle w:val="Compact"/>
      </w:pPr>
      <w:r>
        <w:t xml:space="preserve">Emission Factor: 0.016 kgCO2e/tkm</w:t>
      </w:r>
    </w:p>
    <w:p>
      <w:pPr>
        <w:numPr>
          <w:ilvl w:val="1"/>
          <w:numId w:val="1015"/>
        </w:numPr>
        <w:pStyle w:val="Compact"/>
      </w:pPr>
      <w:r>
        <w:t xml:space="preserve">Calculation: (0.0006 tonnes) * 8000 km * 0.016 kgCO2e/tkm = 0.0768 kgCO2e</w:t>
      </w:r>
    </w:p>
    <w:p>
      <w:pPr>
        <w:numPr>
          <w:ilvl w:val="0"/>
          <w:numId w:val="1014"/>
        </w:numPr>
        <w:pStyle w:val="Compact"/>
      </w:pPr>
      <w:r>
        <w:rPr>
          <w:bCs/>
          <w:b/>
        </w:rPr>
        <w:t xml:space="preserve">Road Freight (Europe Distribution Hub to Local Hub):</w:t>
      </w:r>
    </w:p>
    <w:p>
      <w:pPr>
        <w:numPr>
          <w:ilvl w:val="1"/>
          <w:numId w:val="1016"/>
        </w:numPr>
        <w:pStyle w:val="Compact"/>
      </w:pPr>
      <w:r>
        <w:t xml:space="preserve">Distance: 500 km</w:t>
      </w:r>
    </w:p>
    <w:p>
      <w:pPr>
        <w:numPr>
          <w:ilvl w:val="1"/>
          <w:numId w:val="1016"/>
        </w:numPr>
        <w:pStyle w:val="Compact"/>
      </w:pPr>
      <w:r>
        <w:t xml:space="preserve">Emission Factor: 0.1 kgCO2e/tkm</w:t>
      </w:r>
    </w:p>
    <w:p>
      <w:pPr>
        <w:numPr>
          <w:ilvl w:val="1"/>
          <w:numId w:val="1016"/>
        </w:numPr>
        <w:pStyle w:val="Compact"/>
      </w:pPr>
      <w:r>
        <w:t xml:space="preserve">Calculation: (0.0006 tonnes) * 500 km * 0.1 kgCO2e/tkm = 0.03 kgCO2e</w:t>
      </w:r>
    </w:p>
    <w:p>
      <w:pPr>
        <w:numPr>
          <w:ilvl w:val="0"/>
          <w:numId w:val="1014"/>
        </w:numPr>
        <w:pStyle w:val="Compact"/>
      </w:pPr>
      <w:r>
        <w:rPr>
          <w:bCs/>
          <w:b/>
        </w:rPr>
        <w:t xml:space="preserve">Last-Mile Delivery (Local Hub to Consumer):</w:t>
      </w:r>
    </w:p>
    <w:p>
      <w:pPr>
        <w:numPr>
          <w:ilvl w:val="1"/>
          <w:numId w:val="1017"/>
        </w:numPr>
        <w:pStyle w:val="Compact"/>
      </w:pPr>
      <w:r>
        <w:t xml:space="preserve">Mode: Parcel Post (Light Commercial Van)</w:t>
      </w:r>
    </w:p>
    <w:p>
      <w:pPr>
        <w:numPr>
          <w:ilvl w:val="1"/>
          <w:numId w:val="1017"/>
        </w:numPr>
        <w:pStyle w:val="Compact"/>
      </w:pPr>
      <w:r>
        <w:t xml:space="preserve">Distance: 50 km</w:t>
      </w:r>
    </w:p>
    <w:p>
      <w:pPr>
        <w:numPr>
          <w:ilvl w:val="1"/>
          <w:numId w:val="1017"/>
        </w:numPr>
        <w:pStyle w:val="Compact"/>
      </w:pPr>
      <w:r>
        <w:t xml:space="preserve">Emission Factor: 0.000105 kgCO2e/kg-km</w:t>
      </w:r>
    </w:p>
    <w:p>
      <w:pPr>
        <w:numPr>
          <w:ilvl w:val="1"/>
          <w:numId w:val="1017"/>
        </w:numPr>
        <w:pStyle w:val="Compact"/>
      </w:pPr>
      <w:r>
        <w:t xml:space="preserve">Calculation: 0.6 kg * 50 km * 0.000105 kgCO2e/kg-km = 0.00315 kgCO2e</w:t>
      </w:r>
    </w:p>
    <w:p>
      <w:pPr>
        <w:pStyle w:val="FirstParagraph"/>
      </w:pPr>
      <w:r>
        <w:rPr>
          <w:bCs/>
          <w:b/>
        </w:rPr>
        <w:t xml:space="preserve">Subtotal Category 9 Emissions: 0.0768 + 0.03 + 0.00315 = 0.11 kgCO2e</w:t>
      </w:r>
    </w:p>
    <w:bookmarkEnd w:id="34"/>
    <w:bookmarkStart w:id="35" w:name="category-11-use-of-sold-products"/>
    <w:p>
      <w:pPr>
        <w:pStyle w:val="Heading4"/>
      </w:pPr>
      <w:r>
        <w:t xml:space="preserve">Category 11: Use of Sold Products</w:t>
      </w:r>
    </w:p>
    <w:p>
      <w:pPr>
        <w:pStyle w:val="FirstParagraph"/>
      </w:pPr>
      <w:r>
        <w:t xml:space="preserve">Emissions from the use of lvrdlonqqe over its entire lifespan by the end-consumer.</w:t>
      </w:r>
    </w:p>
    <w:p>
      <w:pPr>
        <w:numPr>
          <w:ilvl w:val="0"/>
          <w:numId w:val="1018"/>
        </w:numPr>
        <w:pStyle w:val="Compact"/>
      </w:pPr>
      <w:r>
        <w:t xml:space="preserve">Lifespan: 5 years</w:t>
      </w:r>
    </w:p>
    <w:p>
      <w:pPr>
        <w:numPr>
          <w:ilvl w:val="0"/>
          <w:numId w:val="1018"/>
        </w:numPr>
        <w:pStyle w:val="Compact"/>
      </w:pPr>
      <w:r>
        <w:t xml:space="preserve">Energy Consumption: 10 kWh/year</w:t>
      </w:r>
    </w:p>
    <w:p>
      <w:pPr>
        <w:numPr>
          <w:ilvl w:val="0"/>
          <w:numId w:val="1018"/>
        </w:numPr>
        <w:pStyle w:val="Compact"/>
      </w:pPr>
      <w:r>
        <w:t xml:space="preserve">Global Average Electricity Emission Factor: 0.4 kgCO2e/kWh</w:t>
      </w:r>
    </w:p>
    <w:p>
      <w:pPr>
        <w:numPr>
          <w:ilvl w:val="0"/>
          <w:numId w:val="1018"/>
        </w:numPr>
        <w:pStyle w:val="Compact"/>
      </w:pPr>
      <w:r>
        <w:t xml:space="preserve">Calculation: 5 years * 10 kWh/year * 0.4 kgCO2e/kWh = 20.0 kgCO2e</w:t>
      </w:r>
    </w:p>
    <w:p>
      <w:pPr>
        <w:pStyle w:val="FirstParagraph"/>
      </w:pPr>
      <w:r>
        <w:rPr>
          <w:bCs/>
          <w:b/>
        </w:rPr>
        <w:t xml:space="preserve">Subtotal Category 11 Emissions: 20.00 kgCO2e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from the disposal and treatment of lvrdlonqqe and its packaging at the end of their useful lives.</w:t>
      </w:r>
    </w:p>
    <w:p>
      <w:pPr>
        <w:numPr>
          <w:ilvl w:val="0"/>
          <w:numId w:val="1019"/>
        </w:numPr>
      </w:pPr>
      <w:r>
        <w:rPr>
          <w:bCs/>
          <w:b/>
        </w:rPr>
        <w:t xml:space="preserve">Product (excluding packaging, 0.45 kg):</w:t>
      </w:r>
    </w:p>
    <w:p>
      <w:pPr>
        <w:numPr>
          <w:ilvl w:val="1"/>
          <w:numId w:val="1020"/>
        </w:numPr>
        <w:pStyle w:val="Compact"/>
      </w:pPr>
      <w:r>
        <w:t xml:space="preserve">Recycled Portion (70%): 0.315 kg</w:t>
      </w:r>
    </w:p>
    <w:p>
      <w:pPr>
        <w:numPr>
          <w:ilvl w:val="2"/>
          <w:numId w:val="1021"/>
        </w:numPr>
        <w:pStyle w:val="Compact"/>
      </w:pPr>
      <w:r>
        <w:t xml:space="preserve">Plastic (0.14 kg): 0.14 kg * 0.202 kgCO2e/kg (recycling process) = 0.02828 kgCO2e</w:t>
      </w:r>
    </w:p>
    <w:p>
      <w:pPr>
        <w:numPr>
          <w:ilvl w:val="2"/>
          <w:numId w:val="1021"/>
        </w:numPr>
        <w:pStyle w:val="Compact"/>
      </w:pPr>
      <w:r>
        <w:t xml:space="preserve">Metal (0.07 kg): 0.07 kg * 0.1 kgCO2e/kg (illustrative recycling process) = 0.007 kgCO2e</w:t>
      </w:r>
    </w:p>
    <w:p>
      <w:pPr>
        <w:numPr>
          <w:ilvl w:val="2"/>
          <w:numId w:val="1021"/>
        </w:numPr>
        <w:pStyle w:val="Compact"/>
      </w:pPr>
      <w:r>
        <w:t xml:space="preserve">Electronics (0.105 kg): 0.105 kg * 1.0 kgCO2e/kg (illustrative processing) = 0.105 kgCO2e</w:t>
      </w:r>
    </w:p>
    <w:p>
      <w:pPr>
        <w:numPr>
          <w:ilvl w:val="1"/>
          <w:numId w:val="1020"/>
        </w:numPr>
        <w:pStyle w:val="Compact"/>
      </w:pPr>
      <w:r>
        <w:t xml:space="preserve">Landfilled Portion (30%): 0.135 kg</w:t>
      </w:r>
    </w:p>
    <w:p>
      <w:pPr>
        <w:numPr>
          <w:ilvl w:val="2"/>
          <w:numId w:val="1022"/>
        </w:numPr>
        <w:pStyle w:val="Compact"/>
      </w:pPr>
      <w:r>
        <w:t xml:space="preserve">Plastic (0.06 kg): 0.06 kg * 0.033 kgCO2e/kg (landfill) = 0.00198 kgCO2e</w:t>
      </w:r>
    </w:p>
    <w:p>
      <w:pPr>
        <w:numPr>
          <w:ilvl w:val="2"/>
          <w:numId w:val="1022"/>
        </w:numPr>
        <w:pStyle w:val="Compact"/>
      </w:pPr>
      <w:r>
        <w:t xml:space="preserve">Electronics (0.045 kg): 0.045 kg * 0.033 kgCO2e/kg (landfill) = 0.001485 kgCO2e</w:t>
      </w:r>
    </w:p>
    <w:p>
      <w:pPr>
        <w:numPr>
          <w:ilvl w:val="0"/>
          <w:numId w:val="1000"/>
        </w:numPr>
      </w:pPr>
      <w:r>
        <w:t xml:space="preserve">Subtotal Product EoL: 0.02828 + 0.007 + 0.105 + 0.00198 + 0.001485 = 0.143745 kgCO2e</w:t>
      </w:r>
    </w:p>
    <w:p>
      <w:pPr>
        <w:numPr>
          <w:ilvl w:val="0"/>
          <w:numId w:val="1019"/>
        </w:numPr>
      </w:pPr>
      <w:r>
        <w:rPr>
          <w:bCs/>
          <w:b/>
        </w:rPr>
        <w:t xml:space="preserve">Packaging (Cardboard, 0.15 kg):</w:t>
      </w:r>
    </w:p>
    <w:p>
      <w:pPr>
        <w:numPr>
          <w:ilvl w:val="1"/>
          <w:numId w:val="1023"/>
        </w:numPr>
        <w:pStyle w:val="Compact"/>
      </w:pPr>
      <w:r>
        <w:t xml:space="preserve">Recycled Portion (90% assumed for cardboard): 0.135 kg</w:t>
      </w:r>
    </w:p>
    <w:p>
      <w:pPr>
        <w:numPr>
          <w:ilvl w:val="2"/>
          <w:numId w:val="1024"/>
        </w:numPr>
        <w:pStyle w:val="Compact"/>
      </w:pPr>
      <w:r>
        <w:t xml:space="preserve">Cardboard (0.135 kg): 0.135 kg * 0.7 kgCO2e/kg (recycling process) = 0.0945 kgCO2e</w:t>
      </w:r>
    </w:p>
    <w:p>
      <w:pPr>
        <w:numPr>
          <w:ilvl w:val="1"/>
          <w:numId w:val="1023"/>
        </w:numPr>
        <w:pStyle w:val="Compact"/>
      </w:pPr>
      <w:r>
        <w:t xml:space="preserve">Landfilled Portion (10%): 0.015 kg</w:t>
      </w:r>
    </w:p>
    <w:p>
      <w:pPr>
        <w:numPr>
          <w:ilvl w:val="2"/>
          <w:numId w:val="1025"/>
        </w:numPr>
        <w:pStyle w:val="Compact"/>
      </w:pPr>
      <w:r>
        <w:t xml:space="preserve">Cardboard (0.015 kg): 0.015 kg * 0.1 kgCO2e/kg (illustrative landfill) = 0.0015 kgCO2e</w:t>
      </w:r>
    </w:p>
    <w:p>
      <w:pPr>
        <w:numPr>
          <w:ilvl w:val="0"/>
          <w:numId w:val="1000"/>
        </w:numPr>
      </w:pPr>
      <w:r>
        <w:t xml:space="preserve">Subtotal Packaging EoL: 0.0945 + 0.0015 = 0.096 kgCO2e</w:t>
      </w:r>
    </w:p>
    <w:p>
      <w:pPr>
        <w:pStyle w:val="FirstParagraph"/>
      </w:pPr>
      <w:r>
        <w:rPr>
          <w:bCs/>
          <w:b/>
        </w:rPr>
        <w:t xml:space="preserve">Subtotal Category 12 Emissions: 0.143745 + 0.096 = 0.24 kgCO2e</w:t>
      </w:r>
    </w:p>
    <w:bookmarkEnd w:id="36"/>
    <w:bookmarkEnd w:id="37"/>
    <w:bookmarkStart w:id="38"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N/A</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N/A</w:t>
            </w:r>
          </w:p>
        </w:tc>
        <w:tc>
          <w:tcPr/>
          <w:p>
            <w:pPr>
              <w:pStyle w:val="Compact"/>
              <w:jc w:val="left"/>
            </w:pPr>
            <w:r>
              <w:t xml:space="preserve">Purchased Electricity (Production)</w:t>
            </w:r>
          </w:p>
        </w:tc>
        <w:tc>
          <w:tcPr/>
          <w:p>
            <w:pPr>
              <w:pStyle w:val="Compact"/>
              <w:jc w:val="left"/>
            </w:pPr>
            <w:r>
              <w:t xml:space="preserve">0.71</w:t>
            </w:r>
          </w:p>
        </w:tc>
        <w:tc>
          <w:tcPr/>
          <w:p>
            <w:pPr>
              <w:pStyle w:val="Compact"/>
              <w:jc w:val="left"/>
            </w:pPr>
            <w:r>
              <w:t xml:space="preserve">2.96%</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2.92</w:t>
            </w:r>
          </w:p>
        </w:tc>
        <w:tc>
          <w:tcPr/>
          <w:p>
            <w:pPr>
              <w:pStyle w:val="Compact"/>
              <w:jc w:val="left"/>
            </w:pPr>
            <w:r>
              <w:t xml:space="preserve">12.18%</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0.06</w:t>
            </w:r>
          </w:p>
        </w:tc>
        <w:tc>
          <w:tcPr/>
          <w:p>
            <w:pPr>
              <w:pStyle w:val="Compact"/>
              <w:jc w:val="left"/>
            </w:pPr>
            <w:r>
              <w:t xml:space="preserve">0.25%</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0.11</w:t>
            </w:r>
          </w:p>
        </w:tc>
        <w:tc>
          <w:tcPr/>
          <w:p>
            <w:pPr>
              <w:pStyle w:val="Compact"/>
              <w:jc w:val="left"/>
            </w:pPr>
            <w:r>
              <w:t xml:space="preserve">0.46%</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20.00</w:t>
            </w:r>
          </w:p>
        </w:tc>
        <w:tc>
          <w:tcPr/>
          <w:p>
            <w:pPr>
              <w:pStyle w:val="Compact"/>
              <w:jc w:val="left"/>
            </w:pPr>
            <w:r>
              <w:t xml:space="preserve">83.43%</w:t>
            </w:r>
          </w:p>
        </w:tc>
      </w:tr>
      <w:tr>
        <w:tc>
          <w:tcPr/>
          <w:p>
            <w:pPr>
              <w:pStyle w:val="Compact"/>
              <w:jc w:val="left"/>
            </w:pPr>
            <w:r>
              <w:t xml:space="preserve">Scope 3</w:t>
            </w: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0.24</w:t>
            </w:r>
          </w:p>
        </w:tc>
        <w:tc>
          <w:tcPr/>
          <w:p>
            <w:pPr>
              <w:pStyle w:val="Compact"/>
              <w:jc w:val="left"/>
            </w:pPr>
            <w:r>
              <w:t xml:space="preserve">1.00%</w:t>
            </w:r>
          </w:p>
        </w:tc>
      </w:tr>
      <w:tr>
        <w:tc>
          <w:tcPr>
            <w:gridSpan w:val="3"/>
          </w:tcPr>
          <w:p>
            <w:pPr>
              <w:pStyle w:val="Compact"/>
              <w:jc w:val="right"/>
            </w:pPr>
            <w:r>
              <w:t xml:space="preserve">Grand Total PCF:</w:t>
            </w:r>
          </w:p>
        </w:tc>
        <w:tc>
          <w:tcPr/>
          <w:p>
            <w:pPr>
              <w:pStyle w:val="Compact"/>
              <w:jc w:val="left"/>
            </w:pPr>
            <w:r>
              <w:t xml:space="preserve">23.97</w:t>
            </w:r>
          </w:p>
        </w:tc>
        <w:tc>
          <w:tcPr/>
          <w:p>
            <w:pPr>
              <w:pStyle w:val="Compact"/>
              <w:jc w:val="left"/>
            </w:pPr>
            <w:r>
              <w:t xml:space="preserve">100.00%</w:t>
            </w:r>
          </w:p>
        </w:tc>
      </w:tr>
    </w:tbl>
    <w:p>
      <w:pPr>
        <w:pStyle w:val="BodyText"/>
      </w:pPr>
      <w:r>
        <w:t xml:space="preserve">Total calculated Scope 3 emissions (2.92 + 0.06 + 0.11 + 20.00 + 0.24 = 23.33 kgCO2e) represent approximately 97.33% of the total PCF, demonstrating compliance with the &gt;95% Scope 3 coverage requirement.</w:t>
      </w:r>
    </w:p>
    <w:p>
      <w:r>
        <w:pict>
          <v:rect style="width:0;height:1.5pt" o:hralign="center" o:hrstd="t" o:hr="t"/>
        </w:pict>
      </w:r>
    </w:p>
    <w:bookmarkEnd w:id="38"/>
    <w:bookmarkEnd w:id="39"/>
    <w:bookmarkStart w:id="43" w:name="review-and-reporting-step-5"/>
    <w:p>
      <w:pPr>
        <w:pStyle w:val="Heading2"/>
      </w:pPr>
      <w:r>
        <w:t xml:space="preserve">5. Review and Reporting (Step 5)</w:t>
      </w:r>
    </w:p>
    <w:bookmarkStart w:id="40" w:name="hotspot-identification"/>
    <w:p>
      <w:pPr>
        <w:pStyle w:val="Heading3"/>
      </w:pPr>
      <w:r>
        <w:t xml:space="preserve">5.1. Hotspot Identification</w:t>
      </w:r>
    </w:p>
    <w:p>
      <w:pPr>
        <w:pStyle w:val="FirstParagraph"/>
      </w:pPr>
      <w:r>
        <w:t xml:space="preserve">The analysis clearly identifies the</w:t>
      </w:r>
      <w:r>
        <w:t xml:space="preserve"> </w:t>
      </w:r>
      <w:r>
        <w:rPr>
          <w:bCs/>
          <w:b/>
        </w:rPr>
        <w:t xml:space="preserve">Use Phase (Scope 3, Category 11)</w:t>
      </w:r>
      <w:r>
        <w:t xml:space="preserve"> </w:t>
      </w:r>
      <w:r>
        <w:t xml:space="preserve">as the most significant contributor to the product\'s carbon footprint, accounting for approximately 83.43% of the total emissions. This is largely due to the product\'s assumed energy consumption over its 5-year lifespan. Material acquisition (Scope 3, Category 1) is the second largest hotspot at 12.18%, highlighting the importance of material selection and supply chain efficiency. End-of-life treatment contributes a smaller but notable portion (1.00%).</w:t>
      </w:r>
    </w:p>
    <w:bookmarkEnd w:id="40"/>
    <w:bookmarkStart w:id="41" w:name="reliability-assessment"/>
    <w:p>
      <w:pPr>
        <w:pStyle w:val="Heading3"/>
      </w:pPr>
      <w:r>
        <w:t xml:space="preserve">5.2. Reliability Assessment</w:t>
      </w:r>
    </w:p>
    <w:p>
      <w:pPr>
        <w:pStyle w:val="FirstParagraph"/>
      </w:pPr>
      <w:r>
        <w:t xml:space="preserve">The reliability of this PCF analysis is high for stages where specific primary data or well-established secondary emission factors were available (e.g., electricity grid mix, general material emission factors). For certain complex areas like electronic components\' manufacturing emissions or specific end-of-life processing emissions where primary data was not provided, illustrative industry-average factors were applied, which introduce a degree of uncertainty. The commitment to adhering to the GHG Protocol ensures a robust framework for reporting.</w:t>
      </w:r>
    </w:p>
    <w:bookmarkEnd w:id="41"/>
    <w:bookmarkStart w:id="42" w:name="recommendations-for-emissions-reduction"/>
    <w:p>
      <w:pPr>
        <w:pStyle w:val="Heading3"/>
      </w:pPr>
      <w:r>
        <w:t xml:space="preserve">5.3. Recommendations for Emissions Reduction</w:t>
      </w:r>
    </w:p>
    <w:p>
      <w:pPr>
        <w:pStyle w:val="FirstParagraph"/>
      </w:pPr>
      <w:r>
        <w:t xml:space="preserve">Based on the hotspot analysis, the following recommendations are provided to egxzftjoge for reducing the PCF of lvrdlonqqe:</w:t>
      </w:r>
    </w:p>
    <w:p>
      <w:pPr>
        <w:numPr>
          <w:ilvl w:val="0"/>
          <w:numId w:val="1026"/>
        </w:numPr>
        <w:pStyle w:val="Compact"/>
      </w:pPr>
      <w:r>
        <w:rPr>
          <w:bCs/>
          <w:b/>
        </w:rPr>
        <w:t xml:space="preserve">Focus on Use Phase Optimization:</w:t>
      </w:r>
      <w:r>
        <w:t xml:space="preserve"> </w:t>
      </w:r>
      <w:r>
        <w:t xml:space="preserve">Given its dominance, efforts to reduce the product\'s energy consumption during its use phase should be prioritized. This could involve exploring more energy-efficient components, optimizing software for lower power draw, or extending battery life.</w:t>
      </w:r>
    </w:p>
    <w:p>
      <w:pPr>
        <w:numPr>
          <w:ilvl w:val="0"/>
          <w:numId w:val="1026"/>
        </w:numPr>
        <w:pStyle w:val="Compact"/>
      </w:pPr>
      <w:r>
        <w:rPr>
          <w:bCs/>
          <w:b/>
        </w:rPr>
        <w:t xml:space="preserve">Enhance Material Sustainability:</w:t>
      </w:r>
      <w:r>
        <w:t xml:space="preserve"> </w:t>
      </w:r>
      <w:r>
        <w:t xml:space="preserve">Investigate opportunities for sourcing lower-carbon alternative materials, increasing recycled content beyond current levels, or designing for lighter weight without compromising functionality. The "Product refurbishment and component reuse program" is a good start, and expanding this could further reduce virgin material demand.</w:t>
      </w:r>
    </w:p>
    <w:p>
      <w:pPr>
        <w:numPr>
          <w:ilvl w:val="0"/>
          <w:numId w:val="1026"/>
        </w:numPr>
        <w:pStyle w:val="Compact"/>
      </w:pPr>
      <w:r>
        <w:rPr>
          <w:bCs/>
          <w:b/>
        </w:rPr>
        <w:t xml:space="preserve">Improve Supply Chain Efficiency:</w:t>
      </w:r>
      <w:r>
        <w:t xml:space="preserve"> </w:t>
      </w:r>
      <w:r>
        <w:t xml:space="preserve">While transportation is a smaller contributor, optimizing logistics, consolidating shipments, and exploring lower-emission transport modes where feasible (e.g., rail over road for longer distances within Europe) can yield further reductions.</w:t>
      </w:r>
    </w:p>
    <w:p>
      <w:pPr>
        <w:numPr>
          <w:ilvl w:val="0"/>
          <w:numId w:val="1026"/>
        </w:numPr>
        <w:pStyle w:val="Compact"/>
      </w:pPr>
      <w:r>
        <w:rPr>
          <w:bCs/>
          <w:b/>
        </w:rPr>
        <w:t xml:space="preserve">Strengthen Circularity at End-of-Life:</w:t>
      </w:r>
      <w:r>
        <w:t xml:space="preserve"> </w:t>
      </w:r>
      <w:r>
        <w:t xml:space="preserve">While a 70% recyclability percentage is good, continuous improvement in design for disassembly and material recovery can further reduce EoL impacts. Expanding take-back programs can ensure higher collection rates for recycling and refurbishment.</w:t>
      </w:r>
    </w:p>
    <w:p>
      <w:pPr>
        <w:numPr>
          <w:ilvl w:val="0"/>
          <w:numId w:val="1026"/>
        </w:numPr>
        <w:pStyle w:val="Compact"/>
      </w:pPr>
      <w:r>
        <w:rPr>
          <w:bCs/>
          <w:b/>
        </w:rPr>
        <w:t xml:space="preserve">Renewable Energy Integration:</w:t>
      </w:r>
      <w:r>
        <w:t xml:space="preserve"> </w:t>
      </w:r>
      <w:r>
        <w:t xml:space="preserve">Continue and expand the use of renewable energy in manufacturing operations (currently 50%) to further reduce Scope 2 emissions.</w: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lvrdlonqqe</dc:title>
  <dc:creator/>
  <dc:description>High-detail Product Carbon Footprint (PCF) analysis report for lvrdlonqqe, adhering to GHG Protocol standards and 2026 LSR and Scope 3 updates.</dc:description>
  <dc:language>en</dc:language>
  <cp:keywords/>
  <dcterms:created xsi:type="dcterms:W3CDTF">2026-07-15T02:55:46Z</dcterms:created>
  <dcterms:modified xsi:type="dcterms:W3CDTF">2026-07-15T02:55:46Z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