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luzvigrjkl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luzvigrjkl</w:t>
      </w:r>
    </w:p>
    <w:p>
      <w:pPr>
        <w:pStyle w:val="BodyText"/>
      </w:pPr>
      <w:r>
        <w:t xml:space="preserve">For: ugypgokitk</w:t>
      </w:r>
    </w:p>
    <w:p>
      <w:pPr>
        <w:pStyle w:val="BodyText"/>
      </w:pPr>
      <w:r>
        <w:t xml:space="preserve">Senior Sustainability Consultant: jejrzhjheo</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data precision.</w:t>
      </w:r>
    </w:p>
    <w:bookmarkEnd w:id="20"/>
    <w:bookmarkStart w:id="21" w:name="X6b806b76fc9171460639d4e662bb46ce66f2399"/>
    <w:p>
      <w:pPr>
        <w:pStyle w:val="Heading1"/>
      </w:pPr>
      <w:r>
        <w:t xml:space="preserve">Product Carbon Footprint Analysis Report: luzvigrjkl</w:t>
      </w:r>
    </w:p>
    <w:p>
      <w:pPr>
        <w:pStyle w:val="FirstParagraph"/>
      </w:pPr>
      <w:r>
        <w:rPr>
          <w:bCs/>
          <w:b/>
        </w:rPr>
        <w:t xml:space="preserve">Generated Date:</w:t>
      </w:r>
      <w:r>
        <w:t xml:space="preserve"> </w:t>
      </w:r>
      <w:r>
        <w:t xml:space="preserve">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"luzvigrjkl" manufactured by ugypgokitk. The analysis, conducted by Senior Sustainability Consultant jejrzhjheo, adheres strictly to the Greenhouse Gas (GHG) Protocol standards, incorporating the latest 2026 Land Sector and Removals (LSR) update and ensuring comprehensive Scope 3 compliance. The objective is to quantify the greenhouse gas emissions associated with the product\'s lifecycle from raw material extraction to the factory gate, including use phase and end-of-life considerations, to identify key hotspots and inform strategic decarbonization efforts.</w:t>
      </w:r>
    </w:p>
    <w:p>
      <w:pPr>
        <w:pStyle w:val="BodyText"/>
      </w:pPr>
      <w:r>
        <w:t xml:space="preserve">The PCF for \'luzvigrjkl\' has been calculated based on a functional unit of 1.0 unit, with a system boundary of \'factory_gate\' augmented by downstream use and end-of-life phases. The supply chain has a significant focus on Europe for raw materials, with final production occurring in China. This report details the methodology, data collected (including a simulated Bill of Materials), emission calculations categorized by GHG Protocol Scopes, and a review of findings.</w:t>
      </w:r>
    </w:p>
    <w:p>
      <w:r>
        <w:pict>
          <v:rect style="width:0;height:1.5pt" o:hralign="center" o:hrstd="t" o:hr="t"/>
        </w:pict>
      </w:r>
    </w:p>
    <w:bookmarkEnd w:id="22"/>
    <w:bookmarkStart w:id="26" w:name="methodology-and-scope-definition"/>
    <w:p>
      <w:pPr>
        <w:pStyle w:val="Heading2"/>
      </w:pPr>
      <w:r>
        <w:t xml:space="preserve">1. Methodology and Scope Definition</w:t>
      </w:r>
    </w:p>
    <w:p>
      <w:pPr>
        <w:pStyle w:val="FirstParagraph"/>
      </w:pPr>
      <w:r>
        <w:t xml:space="preserve">The Product Carbon Footprint (PCF) analysis follows a structured five-step methodology in line with established life cycle assessment (LCA) principles and the specific requirements of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reference unit for this PCF is 1.0 unit of \'luzvigrjkl\'.</w:t>
      </w:r>
    </w:p>
    <w:p>
      <w:pPr>
        <w:numPr>
          <w:ilvl w:val="0"/>
          <w:numId w:val="1001"/>
        </w:numPr>
        <w:pStyle w:val="Compact"/>
      </w:pPr>
      <w:r>
        <w:rPr>
          <w:bCs/>
          <w:b/>
        </w:rPr>
        <w:t xml:space="preserve">System Boundary:</w:t>
      </w:r>
      <w:r>
        <w:t xml:space="preserve"> </w:t>
      </w:r>
      <w:r>
        <w:t xml:space="preserve">The analysis primarily adopts a "cradle-to-gate" system boundary, encompassing raw material acquisition, manufacturing, and all associated transportation up to the factory gate in China. Additionally, to provide a holistic view, the \'Use Phase\' and \'End-of-Life\' scenarios are included in the analysis as downstream Scope 3 emissions.</w:t>
      </w:r>
    </w:p>
    <w:p>
      <w:pPr>
        <w:numPr>
          <w:ilvl w:val="0"/>
          <w:numId w:val="1001"/>
        </w:numPr>
        <w:pStyle w:val="Compact"/>
      </w:pPr>
      <w:r>
        <w:rPr>
          <w:bCs/>
          <w:b/>
        </w:rPr>
        <w:t xml:space="preserve">Geographic Scope:</w:t>
      </w:r>
      <w:r>
        <w:t xml:space="preserve"> </w:t>
      </w:r>
      <w:r>
        <w:t xml:space="preserve">The final production country for \'luzvigrjkl\' is China. The supply chain for raw materials and components is focused on Europe.</w:t>
      </w:r>
    </w:p>
    <w:p>
      <w:pPr>
        <w:numPr>
          <w:ilvl w:val="0"/>
          <w:numId w:val="1001"/>
        </w:numPr>
        <w:pStyle w:val="Compact"/>
      </w:pPr>
      <w:r>
        <w:rPr>
          <w:bCs/>
          <w:b/>
        </w:rPr>
        <w:t xml:space="preserve">Allocation:</w:t>
      </w:r>
      <w:r>
        <w:t xml:space="preserve"> </w:t>
      </w:r>
      <w:r>
        <w:t xml:space="preserve">Where co-production or multi-output processes occur, emissions are allocated based on mass, economic value, or other relevant physical relationships as per GHG Protocol guidance.</w:t>
      </w:r>
    </w:p>
    <w:p>
      <w:pPr>
        <w:numPr>
          <w:ilvl w:val="0"/>
          <w:numId w:val="1001"/>
        </w:numPr>
        <w:pStyle w:val="Compact"/>
      </w:pPr>
      <w:r>
        <w:rPr>
          <w:bCs/>
          <w:b/>
        </w:rPr>
        <w:t xml:space="preserve">Accounting Standard:</w:t>
      </w:r>
      <w:r>
        <w:t xml:space="preserve"> </w:t>
      </w:r>
      <w:r>
        <w:t xml:space="preserve">The Greenhouse Gas (GHG) Protocol\'s Product Standard and Corporate Value Chain (Scope 3) Accounting and Reporting Standard are the foundational standards for this analysis.</w:t>
      </w:r>
    </w:p>
    <w:bookmarkEnd w:id="23"/>
    <w:bookmarkStart w:id="24" w:name="lsr-update-application"/>
    <w:p>
      <w:pPr>
        <w:pStyle w:val="Heading3"/>
      </w:pPr>
      <w:r>
        <w:t xml:space="preserve">1.2. 2026 LSR Update Application</w:t>
      </w:r>
    </w:p>
    <w:p>
      <w:pPr>
        <w:pStyle w:val="FirstParagraph"/>
      </w:pPr>
      <w:r>
        <w:t xml:space="preserve">The GHG Protocol\'s Land Sector and Removals (LSR) Standard, released on January 30, 2026, and effective January 1, 2027, has been considered in this analysis. While the primary focus of the LSR Standard is on entities with significant land sector activities (e.g., agriculture) and those reporting CO₂ removals, its principles are acknowledged for any biogenic carbon within materials or land-use change impacts associated with raw material sourcing. For \'luzvigrjkl\', if components include bio-based materials, emissions and potential removals related to their land management and biogenic carbon would be accounted for in accordance with the LSR Standard\'s framework. This version of the LSR Standard does not yet cover forestry.</w:t>
      </w:r>
    </w:p>
    <w:bookmarkEnd w:id="24"/>
    <w:bookmarkStart w:id="25" w:name="scope-3-compliance-95-coverage"/>
    <w:p>
      <w:pPr>
        <w:pStyle w:val="Heading3"/>
      </w:pPr>
      <w:r>
        <w:t xml:space="preserve">1.3. Scope 3 Compliance (95% Coverage)</w:t>
      </w:r>
    </w:p>
    <w:p>
      <w:pPr>
        <w:pStyle w:val="FirstParagraph"/>
      </w:pPr>
      <w:r>
        <w:t xml:space="preserve">In line with the 2026 GHG Protocol requirements, this analysis aims for at least 95% coverage for all relevant Scope 3 emissions. This means all significant upstream and downstream value chain emissions are quantified. Any exclusions, if necessary, are rigorously justified, quantified, and do not exceed the 5% threshold of total required Scope 3 emissions. Furthermore, reported Scope 3 emissions are disaggregated by data type (primary vs. secondary) to enhance transparency and data quality, reflecting the growing emphasis on auditable, financial-grade emissions reporting.</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\'luzvigrjkl\' is mapped across the following key stages, enabling a comprehensive inventory of inputs and outputs.</w:t>
      </w:r>
    </w:p>
    <w:bookmarkStart w:id="27" w:name="X4b928dcdf0962d2aa7b18461c484150b6273964"/>
    <w:p>
      <w:pPr>
        <w:pStyle w:val="Heading3"/>
      </w:pPr>
      <w:r>
        <w:t xml:space="preserve">2.1. Raw Material Acquisition and Pre-processing (Scope 3, Category 1 - Purchased Goods and Services)</w:t>
      </w:r>
    </w:p>
    <w:p>
      <w:pPr>
        <w:pStyle w:val="FirstParagraph"/>
      </w:pPr>
      <w:r>
        <w:t xml:space="preserve">This stage includes the extraction, processing, and refining of all raw materials used in \'luzvigrjkl\'. This is a critical Scope 3 category, as it often represents a significant portion of a product\'s footprint. The Detailed Bill of Materials (BOM) for \'xzpkdirh\' is crucial here for high-accuracy material impact calculation.</w:t>
      </w:r>
    </w:p>
    <w:bookmarkEnd w:id="27"/>
    <w:bookmarkStart w:id="28" w:name="Xb9211ea735ad91e95b589d15b9dbab35d5a29b9"/>
    <w:p>
      <w:pPr>
        <w:pStyle w:val="Heading3"/>
      </w:pPr>
      <w:r>
        <w:t xml:space="preserve">2.2. Manufacturing / Production (Scope 1 &amp; 2, and Scope 3 - Upstream Activities)</w:t>
      </w:r>
    </w:p>
    <w:p>
      <w:pPr>
        <w:pStyle w:val="FirstParagraph"/>
      </w:pPr>
      <w:r>
        <w:t xml:space="preserve">This stage covers all activities at ugypgokitk\'s manufacturing facility in China.</w:t>
      </w:r>
    </w:p>
    <w:p>
      <w:pPr>
        <w:numPr>
          <w:ilvl w:val="0"/>
          <w:numId w:val="1002"/>
        </w:numPr>
        <w:pStyle w:val="Compact"/>
      </w:pPr>
      <w:r>
        <w:rPr>
          <w:bCs/>
          <w:b/>
        </w:rPr>
        <w:t xml:space="preserve">Scope 1:</w:t>
      </w:r>
      <w:r>
        <w:t xml:space="preserve"> </w:t>
      </w:r>
      <w:r>
        <w:t xml:space="preserve">Direct emissions from owned or controlled sources (e.g., on-site fuel combustion for heating or processes, company vehicles). For this analysis, direct process emissions from manufacturing are considered minimal without specific process data, focusing primarily on energy.</w:t>
      </w:r>
    </w:p>
    <w:p>
      <w:pPr>
        <w:numPr>
          <w:ilvl w:val="0"/>
          <w:numId w:val="1002"/>
        </w:numPr>
        <w:pStyle w:val="Compact"/>
      </w:pPr>
      <w:r>
        <w:rPr>
          <w:bCs/>
          <w:b/>
        </w:rPr>
        <w:t xml:space="preserve">Scope 2:</w:t>
      </w:r>
      <w:r>
        <w:t xml:space="preserve"> </w:t>
      </w:r>
      <w:r>
        <w:t xml:space="preserve">Indirect emissions from the generation of purchased electricity consumed by ugypgokitk\'s facility.</w:t>
      </w:r>
    </w:p>
    <w:p>
      <w:pPr>
        <w:numPr>
          <w:ilvl w:val="0"/>
          <w:numId w:val="1002"/>
        </w:numPr>
        <w:pStyle w:val="Compact"/>
      </w:pPr>
      <w:r>
        <w:rPr>
          <w:bCs/>
          <w:b/>
        </w:rPr>
        <w:t xml:space="preserve">Scope 3 (Upstream):</w:t>
      </w:r>
      <w:r>
        <w:t xml:space="preserve"> </w:t>
      </w:r>
      <w:r>
        <w:t xml:space="preserve">Emissions from the production of capital goods, waste generated in operations, and business travel (if applicable) are captured as part of a comprehensive Scope 3 inventory, though for PCF, focus is on material and energy inputs.</w:t>
      </w:r>
    </w:p>
    <w:bookmarkEnd w:id="28"/>
    <w:bookmarkStart w:id="29" w:name="X8c294ae2681d1ff9b9b5e392148a564252439b4"/>
    <w:p>
      <w:pPr>
        <w:pStyle w:val="Heading3"/>
      </w:pPr>
      <w:r>
        <w:t xml:space="preserve">2.3. Transport and Distribution (Scope 3, Category 4 - Upstream Transportation and Distribution)</w:t>
      </w:r>
    </w:p>
    <w:p>
      <w:pPr>
        <w:pStyle w:val="FirstParagraph"/>
      </w:pPr>
      <w:r>
        <w:t xml:space="preserve">This stage covers all transportation activities from raw material suppliers in Europe to the manufacturing plant in China, and subsequently to the \'factory_gate\' as per the system boundary.</w:t>
      </w:r>
    </w:p>
    <w:p>
      <w:pPr>
        <w:numPr>
          <w:ilvl w:val="0"/>
          <w:numId w:val="1003"/>
        </w:numPr>
        <w:pStyle w:val="Compact"/>
      </w:pPr>
      <w:r>
        <w:rPr>
          <w:bCs/>
          <w:b/>
        </w:rPr>
        <w:t xml:space="preserve">Inbound Logistics:</w:t>
      </w:r>
      <w:r>
        <w:t xml:space="preserve"> </w:t>
      </w:r>
      <w:r>
        <w:t xml:space="preserve">Raw materials and components transported from Europe to the production facility in China.</w:t>
      </w:r>
    </w:p>
    <w:p>
      <w:pPr>
        <w:numPr>
          <w:ilvl w:val="0"/>
          <w:numId w:val="1003"/>
        </w:numPr>
        <w:pStyle w:val="Compact"/>
      </w:pPr>
      <w:r>
        <w:rPr>
          <w:bCs/>
          <w:b/>
        </w:rPr>
        <w:t xml:space="preserve">Last-Mile Delivery:</w:t>
      </w:r>
      <w:r>
        <w:t xml:space="preserve"> </w:t>
      </w:r>
      <w:r>
        <w:t xml:space="preserve">Transport from the factory gate to initial distribution points, reflecting the specified \'Delivery Type\'.</w:t>
      </w:r>
    </w:p>
    <w:bookmarkEnd w:id="29"/>
    <w:bookmarkStart w:id="30" w:name="Xe72837a908ad344b018b3447ff671a3dec19470"/>
    <w:p>
      <w:pPr>
        <w:pStyle w:val="Heading3"/>
      </w:pPr>
      <w:r>
        <w:t xml:space="preserve">2.4. Use Phase (Scope 3, Category 11 - Use of Sold Products)</w:t>
      </w:r>
    </w:p>
    <w:p>
      <w:pPr>
        <w:pStyle w:val="FirstParagraph"/>
      </w:pPr>
      <w:r>
        <w:t xml:space="preserve">This stage accounts for emissions arising from the product\'s utilization by the end-consumer over its lifespan. The energy consumption of the product during its functional life is a primary consideration.</w:t>
      </w:r>
    </w:p>
    <w:bookmarkEnd w:id="30"/>
    <w:bookmarkStart w:id="31" w:name="Xfee19c72b3111fddaf9d3fe76723f104166f831"/>
    <w:p>
      <w:pPr>
        <w:pStyle w:val="Heading3"/>
      </w:pPr>
      <w:r>
        <w:t xml:space="preserve">2.5. End-of-Life Treatment (Scope 3, Category 12 - End-of-Life Treatment of Sold Products)</w:t>
      </w:r>
    </w:p>
    <w:p>
      <w:pPr>
        <w:pStyle w:val="FirstParagraph"/>
      </w:pPr>
      <w:r>
        <w:t xml:space="preserve">This stage addresses the emissions and potential avoided emissions associated with the product\'s disposal, recycling, or recovery at the end of its useful life, considering the specified recyclability percentage and circular/take-back programs.</w:t>
      </w:r>
    </w:p>
    <w:p>
      <w:r>
        <w:pict>
          <v:rect style="width:0;height:1.5pt" o:hralign="center" o:hrstd="t" o:hr="t"/>
        </w:pict>
      </w:r>
    </w:p>
    <w:bookmarkEnd w:id="31"/>
    <w:bookmarkEnd w:id="32"/>
    <w:bookmarkStart w:id="39" w:name="data-collection-and-inputs"/>
    <w:p>
      <w:pPr>
        <w:pStyle w:val="Heading2"/>
      </w:pPr>
      <w:r>
        <w:t xml:space="preserve">3. Data Collection and Inputs</w:t>
      </w:r>
    </w:p>
    <w:p>
      <w:pPr>
        <w:pStyle w:val="FirstParagraph"/>
      </w:pPr>
      <w:r>
        <w:t xml:space="preserve">This section outlines the data points collected and assumptions made for the PCF calculation. Where specific parameter values were provided as placeholders (e.g., `xzpkdirh`, `wgflloeyht`), realistic example values are used for demonstrative calculations, with the understanding that actual values would be utilized in a definitive report.</w:t>
      </w:r>
    </w:p>
    <w:bookmarkStart w:id="33" w:name="bill-of-materials-bom-data-xzpkdirh"/>
    <w:p>
      <w:pPr>
        <w:pStyle w:val="Heading3"/>
      </w:pPr>
      <w:r>
        <w:t xml:space="preserve">3.1. Bill of Materials (BOM) Data (xzpkdirh)</w:t>
      </w:r>
    </w:p>
    <w:p>
      <w:pPr>
        <w:pStyle w:val="FirstParagraph"/>
      </w:pPr>
      <w:r>
        <w:t xml:space="preserve">The Detailed Bill of Materials (BOM) is a critical input for calculating the embodied emissions of materials. While `xzpkdirh` is provided as a placeholder for the actual BOM data, an illustrative example based on the specified format (ID, Description, Category, Process, Qty, Unit, Emission Factor, Total Carbon) is presented below. In a real scenario, the precise data from `xzpkdirh` would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MTRL001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MTRL002</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w:t>
            </w:r>
          </w:p>
        </w:tc>
      </w:tr>
      <w:tr>
        <w:tc>
          <w:tcPr/>
          <w:p>
            <w:pPr>
              <w:pStyle w:val="Compact"/>
              <w:jc w:val="left"/>
            </w:pPr>
            <w:r>
              <w:t xml:space="preserve">MTRL003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MTRL004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r>
        <w:tc>
          <w:tcPr/>
          <w:p>
            <w:pPr>
              <w:pStyle w:val="Compact"/>
              <w:jc w:val="left"/>
            </w:pPr>
            <w:r>
              <w:t xml:space="preserve">MTRL005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bl>
    <w:p>
      <w:pPr>
        <w:pStyle w:val="BodyText"/>
      </w:pPr>
      <w:r>
        <w:rPr>
          <w:iCs/>
          <w:i/>
        </w:rPr>
        <w:t xml:space="preserve">Note: The "Emission Factor" and "Total Carbon" values in this table are illustrative examples. In a definitive report, these would be derived from the specific data provided in `xzpkdirh` or industry-standard databases like Ecoinvent/DEFRA for accurate calculations.</w:t>
      </w:r>
    </w:p>
    <w:bookmarkEnd w:id="33"/>
    <w:bookmarkStart w:id="34" w:name="logistics-data"/>
    <w:p>
      <w:pPr>
        <w:pStyle w:val="Heading3"/>
      </w:pPr>
      <w:r>
        <w:t xml:space="preserve">3.2. Logistics Data</w:t>
      </w:r>
    </w:p>
    <w:p>
      <w:pPr>
        <w:numPr>
          <w:ilvl w:val="0"/>
          <w:numId w:val="1004"/>
        </w:numPr>
        <w:pStyle w:val="Compact"/>
      </w:pPr>
      <w:r>
        <w:rPr>
          <w:bCs/>
          <w:b/>
        </w:rPr>
        <w:t xml:space="preserve">Transport Mode (Select Mode):</w:t>
      </w:r>
    </w:p>
    <w:p>
      <w:pPr>
        <w:numPr>
          <w:ilvl w:val="1"/>
          <w:numId w:val="1005"/>
        </w:numPr>
        <w:pStyle w:val="Compact"/>
      </w:pPr>
      <w:r>
        <w:rPr>
          <w:bCs/>
          <w:b/>
        </w:rPr>
        <w:t xml:space="preserve">Inbound (Europe to China):</w:t>
      </w:r>
      <w:r>
        <w:t xml:space="preserve"> </w:t>
      </w:r>
      <w:r>
        <w:t xml:space="preserve">Sea Freight (Container Ship).</w:t>
      </w:r>
    </w:p>
    <w:p>
      <w:pPr>
        <w:numPr>
          <w:ilvl w:val="1"/>
          <w:numId w:val="1005"/>
        </w:numPr>
        <w:pStyle w:val="Compact"/>
      </w:pPr>
      <w:r>
        <w:rPr>
          <w:bCs/>
          <w:b/>
        </w:rPr>
        <w:t xml:space="preserve">Last-Mile (China):</w:t>
      </w:r>
      <w:r>
        <w:t xml:space="preserve"> </w:t>
      </w:r>
      <w:r>
        <w:t xml:space="preserve">Road Transport (Heavy Duty Truck).</w:t>
      </w:r>
    </w:p>
    <w:p>
      <w:pPr>
        <w:numPr>
          <w:ilvl w:val="0"/>
          <w:numId w:val="1004"/>
        </w:numPr>
        <w:pStyle w:val="Compact"/>
      </w:pPr>
      <w:r>
        <w:rPr>
          <w:bCs/>
          <w:b/>
        </w:rPr>
        <w:t xml:space="preserve">Transport Distance (wgflloeyht):</w:t>
      </w:r>
    </w:p>
    <w:p>
      <w:pPr>
        <w:numPr>
          <w:ilvl w:val="1"/>
          <w:numId w:val="1006"/>
        </w:numPr>
        <w:pStyle w:val="Compact"/>
      </w:pPr>
      <w:r>
        <w:rPr>
          <w:bCs/>
          <w:b/>
        </w:rPr>
        <w:t xml:space="preserve">Inbound (Europe to China):</w:t>
      </w:r>
      <w:r>
        <w:t xml:space="preserve"> </w:t>
      </w:r>
      <w:r>
        <w:t xml:space="preserve">Assumed 20,000 km. (Placeholder `wgflloeyht`)</w:t>
      </w:r>
    </w:p>
    <w:p>
      <w:pPr>
        <w:numPr>
          <w:ilvl w:val="1"/>
          <w:numId w:val="1006"/>
        </w:numPr>
        <w:pStyle w:val="Compact"/>
      </w:pPr>
      <w:r>
        <w:rPr>
          <w:bCs/>
          <w:b/>
        </w:rPr>
        <w:t xml:space="preserve">Last-Mile (China):</w:t>
      </w:r>
      <w:r>
        <w:t xml:space="preserve"> </w:t>
      </w:r>
      <w:r>
        <w:t xml:space="preserve">Assumed 500 km. (Placeholder `wgflloeyht`)</w:t>
      </w:r>
    </w:p>
    <w:p>
      <w:pPr>
        <w:numPr>
          <w:ilvl w:val="0"/>
          <w:numId w:val="1004"/>
        </w:numPr>
        <w:pStyle w:val="Compact"/>
      </w:pPr>
      <w:r>
        <w:rPr>
          <w:bCs/>
          <w:b/>
        </w:rPr>
        <w:t xml:space="preserve">Last-Mile Delivery Channel (Delivery Type):</w:t>
      </w:r>
      <w:r>
        <w:t xml:space="preserve"> </w:t>
      </w:r>
      <w:r>
        <w:t xml:space="preserve">Assumed direct delivery to regional distribution centers by road transport.</w:t>
      </w:r>
    </w:p>
    <w:bookmarkEnd w:id="34"/>
    <w:bookmarkStart w:id="35" w:name="X5077dc433e1da7ac35c89ed02c6fc33082866a4"/>
    <w:p>
      <w:pPr>
        <w:pStyle w:val="Heading3"/>
      </w:pPr>
      <w:r>
        <w:t xml:space="preserve">3.3. Energy Customization Data (Production Phase)</w:t>
      </w:r>
    </w:p>
    <w:p>
      <w:pPr>
        <w:numPr>
          <w:ilvl w:val="0"/>
          <w:numId w:val="1007"/>
        </w:numPr>
        <w:pStyle w:val="Compact"/>
      </w:pPr>
      <w:r>
        <w:rPr>
          <w:bCs/>
          <w:b/>
        </w:rPr>
        <w:t xml:space="preserve">Renewable Energy Usage (injqjtmhdu):</w:t>
      </w:r>
      <w:r>
        <w:t xml:space="preserve"> </w:t>
      </w:r>
      <w:r>
        <w:t xml:space="preserve">Assumed 30% renewable energy penetration at the manufacturing facility in China. (Placeholder `injqjtmhdu`). China\'s renewable electricity generation capacity is growing rapidly, reaching over 50% of total installed capacity by early 2026, with electricity generation from renewables around 35-42%.</w:t>
      </w:r>
    </w:p>
    <w:p>
      <w:pPr>
        <w:numPr>
          <w:ilvl w:val="0"/>
          <w:numId w:val="1007"/>
        </w:numPr>
        <w:pStyle w:val="Compact"/>
      </w:pPr>
      <w:r>
        <w:rPr>
          <w:bCs/>
          <w:b/>
        </w:rPr>
        <w:t xml:space="preserve">Energy Intensity (kWh/unit) (qpoyilrqhz):</w:t>
      </w:r>
      <w:r>
        <w:t xml:space="preserve"> </w:t>
      </w:r>
      <w:r>
        <w:t xml:space="preserve">Assumed 50 kWh/unit for the manufacturing process. (Placeholder `qpoyilrqhz`).</w:t>
      </w:r>
    </w:p>
    <w:bookmarkEnd w:id="35"/>
    <w:bookmarkStart w:id="36" w:name="use-phase-data"/>
    <w:p>
      <w:pPr>
        <w:pStyle w:val="Heading3"/>
      </w:pPr>
      <w:r>
        <w:t xml:space="preserve">3.4. Use Phase Data</w:t>
      </w:r>
    </w:p>
    <w:p>
      <w:pPr>
        <w:numPr>
          <w:ilvl w:val="0"/>
          <w:numId w:val="1008"/>
        </w:numPr>
        <w:pStyle w:val="Compact"/>
      </w:pPr>
      <w:r>
        <w:rPr>
          <w:bCs/>
          <w:b/>
        </w:rPr>
        <w:t xml:space="preserve">Product Lifespan (pszvysvjef):</w:t>
      </w:r>
      <w:r>
        <w:t xml:space="preserve"> </w:t>
      </w:r>
      <w:r>
        <w:t xml:space="preserve">Assumed 5 years. (Placeholder `pszvysvjef`). The average lifespan of electronics varies, with many consumer electronics lasting 3-5 years.</w:t>
      </w:r>
    </w:p>
    <w:p>
      <w:pPr>
        <w:numPr>
          <w:ilvl w:val="0"/>
          <w:numId w:val="1008"/>
        </w:numPr>
        <w:pStyle w:val="Compact"/>
      </w:pPr>
      <w:r>
        <w:rPr>
          <w:bCs/>
          <w:b/>
        </w:rPr>
        <w:t xml:space="preserve">Energy Consumption in Use (vqnenkihzi):</w:t>
      </w:r>
      <w:r>
        <w:t xml:space="preserve"> </w:t>
      </w:r>
      <w:r>
        <w:t xml:space="preserve">Assumed 10 kWh/year during the use phase. (Placeholder `vqnenkihzi`). This is a direct energy consumption.</w:t>
      </w:r>
    </w:p>
    <w:bookmarkEnd w:id="36"/>
    <w:bookmarkStart w:id="37" w:name="end-of-life-eol-data"/>
    <w:p>
      <w:pPr>
        <w:pStyle w:val="Heading3"/>
      </w:pPr>
      <w:r>
        <w:t xml:space="preserve">3.5. End-of-Life (EoL) Data</w:t>
      </w:r>
    </w:p>
    <w:p>
      <w:pPr>
        <w:numPr>
          <w:ilvl w:val="0"/>
          <w:numId w:val="1009"/>
        </w:numPr>
        <w:pStyle w:val="Compact"/>
      </w:pPr>
      <w:r>
        <w:rPr>
          <w:bCs/>
          <w:b/>
        </w:rPr>
        <w:t xml:space="preserve">Recyclability Percentage (pzuusuinly):</w:t>
      </w:r>
      <w:r>
        <w:t xml:space="preserve"> </w:t>
      </w:r>
      <w:r>
        <w:t xml:space="preserve">Assumed 70% overall recyclability by mass. (Placeholder `pzuusuinly`). This is a blended rate, as materials like steel and aluminum have high recycling rates (over 60%), while some plastics and complex electronics have lower rates.</w:t>
      </w:r>
    </w:p>
    <w:p>
      <w:pPr>
        <w:numPr>
          <w:ilvl w:val="0"/>
          <w:numId w:val="1009"/>
        </w:numPr>
        <w:pStyle w:val="Compact"/>
      </w:pPr>
      <w:r>
        <w:rPr>
          <w:bCs/>
          <w:b/>
        </w:rPr>
        <w:t xml:space="preserve">Circular/Take-back Programs (euvuttskqi):</w:t>
      </w:r>
      <w:r>
        <w:t xml:space="preserve"> </w:t>
      </w:r>
      <w:r>
        <w:t xml:space="preserve">The presence of circular/take-back programs (placeholder `euvuttskqi`) can significantly influence end-of-life impacts by ensuring materials are recovered and recycled, reducing the need for virgin resources and minimizing landfill waste. This is considered in the EoL calculations by applying a credit for recycled materials.</w:t>
      </w:r>
    </w:p>
    <w:bookmarkEnd w:id="37"/>
    <w:bookmarkStart w:id="38" w:name="emission-factors-illustrative-examples"/>
    <w:p>
      <w:pPr>
        <w:pStyle w:val="Heading3"/>
      </w:pPr>
      <w:r>
        <w:t xml:space="preserve">3.6. Emission Factors (Illustrative Examples)</w:t>
      </w:r>
    </w:p>
    <w:p>
      <w:pPr>
        <w:pStyle w:val="FirstParagraph"/>
      </w:pPr>
      <w:r>
        <w:t xml:space="preserve">Industry-standard emission factors (e.g., from Ecoinvent, DEFRA, or China-specific databases like CAEP) would be utilized for precise calculations. For this illustrative report, the following example emission factors are used:</w:t>
      </w:r>
    </w:p>
    <w:p>
      <w:pPr>
        <w:numPr>
          <w:ilvl w:val="0"/>
          <w:numId w:val="1010"/>
        </w:numPr>
        <w:pStyle w:val="Compact"/>
      </w:pPr>
      <w:r>
        <w:rPr>
          <w:bCs/>
          <w:b/>
        </w:rPr>
        <w:t xml:space="preserve">Electricity (China Grid Average):</w:t>
      </w:r>
      <w:r>
        <w:t xml:space="preserve"> </w:t>
      </w:r>
      <w:r>
        <w:t xml:space="preserve">0.6205 kg CO2e/kWh (based on 2023 national average).</w:t>
      </w:r>
    </w:p>
    <w:p>
      <w:pPr>
        <w:numPr>
          <w:ilvl w:val="0"/>
          <w:numId w:val="1010"/>
        </w:numPr>
        <w:pStyle w:val="Compact"/>
      </w:pPr>
      <w:r>
        <w:rPr>
          <w:bCs/>
          <w:b/>
        </w:rPr>
        <w:t xml:space="preserve">Sea Freight:</w:t>
      </w:r>
      <w:r>
        <w:t xml:space="preserve"> </w:t>
      </w:r>
      <w:r>
        <w:t xml:space="preserve">0.02 kg CO2e/tonne-km.</w:t>
      </w:r>
    </w:p>
    <w:p>
      <w:pPr>
        <w:numPr>
          <w:ilvl w:val="0"/>
          <w:numId w:val="1010"/>
        </w:numPr>
        <w:pStyle w:val="Compact"/>
      </w:pPr>
      <w:r>
        <w:rPr>
          <w:bCs/>
          <w:b/>
        </w:rPr>
        <w:t xml:space="preserve">Road Transport (Heavy Duty Truck):</w:t>
      </w:r>
      <w:r>
        <w:t xml:space="preserve"> </w:t>
      </w:r>
      <w:r>
        <w:t xml:space="preserve">0.1 kg CO2e/tonne-km.</w:t>
      </w:r>
    </w:p>
    <w:p>
      <w:pPr>
        <w:numPr>
          <w:ilvl w:val="0"/>
          <w:numId w:val="1010"/>
        </w:numPr>
        <w:pStyle w:val="Compact"/>
      </w:pPr>
      <w:r>
        <w:rPr>
          <w:bCs/>
          <w:b/>
        </w:rPr>
        <w:t xml:space="preserve">End-of-Life (Landfill):</w:t>
      </w:r>
      <w:r>
        <w:t xml:space="preserve"> </w:t>
      </w:r>
      <w:r>
        <w:t xml:space="preserve">Assumed 0.5 kg CO2e/kg for non-recycled waste (illustrative).</w:t>
      </w:r>
    </w:p>
    <w:p>
      <w:pPr>
        <w:numPr>
          <w:ilvl w:val="0"/>
          <w:numId w:val="1010"/>
        </w:numPr>
        <w:pStyle w:val="Compact"/>
      </w:pPr>
      <w:r>
        <w:rPr>
          <w:bCs/>
          <w:b/>
        </w:rPr>
        <w:t xml:space="preserve">End-of-Life (Recycling Credit):</w:t>
      </w:r>
      <w:r>
        <w:t xml:space="preserve"> </w:t>
      </w:r>
      <w:r>
        <w:t xml:space="preserve">Assumed -2.0 kg CO2e/kg for recycled materials (illustrative, reflecting avoided virgin production).</w:t>
      </w:r>
    </w:p>
    <w:p>
      <w:r>
        <w:pict>
          <v:rect style="width:0;height:1.5pt" o:hralign="center" o:hrstd="t" o:hr="t"/>
        </w:pict>
      </w:r>
    </w:p>
    <w:bookmarkEnd w:id="38"/>
    <w:bookmarkEnd w:id="39"/>
    <w:bookmarkStart w:id="48" w:name="Xdd1c2ba429305467bad58a0828410d9d0fce25c"/>
    <w:p>
      <w:pPr>
        <w:pStyle w:val="Heading2"/>
      </w:pPr>
      <w:r>
        <w:t xml:space="preserve">4. Emissions Calculation (Activity * Emission Factor = CO2e)</w:t>
      </w:r>
    </w:p>
    <w:p>
      <w:pPr>
        <w:pStyle w:val="FirstParagraph"/>
      </w:pPr>
      <w:r>
        <w:t xml:space="preserve">The emissions are calculated for each lifecycle stage and categorized according to the GHG Protocol Scopes. The calculations presented here are illustrative, using the example data and emission factors defined in Section 3.</w:t>
      </w:r>
    </w:p>
    <w:bookmarkStart w:id="40" w:name="X8a6cd55c8a7b3a5f35a780537f4dc02f06cabc3"/>
    <w:p>
      <w:pPr>
        <w:pStyle w:val="Heading3"/>
      </w:pPr>
      <w:r>
        <w:t xml:space="preserve">4.1. Scope 3: Upstream Emissions (Raw Material Acquisition &amp; Pre-processing)</w:t>
      </w:r>
    </w:p>
    <w:p>
      <w:pPr>
        <w:pStyle w:val="FirstParagraph"/>
      </w:pPr>
      <w:r>
        <w:t xml:space="preserve">These emissions are derived directly from the \'Total Carbon\' column in the illustrative BOM.</w:t>
      </w:r>
    </w:p>
    <w:p>
      <w:pPr>
        <w:pStyle w:val="BodyText"/>
      </w:pPr>
      <w:r>
        <w:rPr>
          <w:bCs/>
          <w:b/>
        </w:rPr>
        <w:t xml:space="preserve">Calculation:</w:t>
      </w:r>
      <w:r>
        <w:t xml:space="preserve"> </w:t>
      </w:r>
      <w:r>
        <w:t xml:space="preserve">Sum of \'Total Carbon\' from BOM (MTRL001 + MTRL002 + MTRL003 + MTRL004 + MTRL005)</w:t>
      </w:r>
    </w:p>
    <w:p>
      <w:pPr>
        <w:numPr>
          <w:ilvl w:val="0"/>
          <w:numId w:val="1011"/>
        </w:numPr>
        <w:pStyle w:val="Compact"/>
      </w:pPr>
      <w:r>
        <w:t xml:space="preserve">ABS Plastic Casing: 1.75 kg CO2e</w:t>
      </w:r>
    </w:p>
    <w:p>
      <w:pPr>
        <w:numPr>
          <w:ilvl w:val="0"/>
          <w:numId w:val="1011"/>
        </w:numPr>
        <w:pStyle w:val="Compact"/>
      </w:pPr>
      <w:r>
        <w:t xml:space="preserve">Aluminum Enclosure: 2.00 kg CO2e</w:t>
      </w:r>
    </w:p>
    <w:p>
      <w:pPr>
        <w:numPr>
          <w:ilvl w:val="0"/>
          <w:numId w:val="1011"/>
        </w:numPr>
        <w:pStyle w:val="Compact"/>
      </w:pPr>
      <w:r>
        <w:t xml:space="preserve">Printed Circuit Board (PCB): 2.00 kg CO2e</w:t>
      </w:r>
    </w:p>
    <w:p>
      <w:pPr>
        <w:numPr>
          <w:ilvl w:val="0"/>
          <w:numId w:val="1011"/>
        </w:numPr>
        <w:pStyle w:val="Compact"/>
      </w:pPr>
      <w:r>
        <w:t xml:space="preserve">Copper Wiring: 0.25 kg CO2e</w:t>
      </w:r>
    </w:p>
    <w:p>
      <w:pPr>
        <w:numPr>
          <w:ilvl w:val="0"/>
          <w:numId w:val="1011"/>
        </w:numPr>
        <w:pStyle w:val="Compact"/>
      </w:pPr>
      <w:r>
        <w:t xml:space="preserve">Lithium-ion Battery: 1.50 kg CO2e</w:t>
      </w:r>
    </w:p>
    <w:p>
      <w:pPr>
        <w:pStyle w:val="FirstParagraph"/>
      </w:pPr>
      <w:r>
        <w:rPr>
          <w:bCs/>
          <w:b/>
        </w:rPr>
        <w:t xml:space="preserve">Total Scope 3 (Materials):</w:t>
      </w:r>
      <w:r>
        <w:t xml:space="preserve"> </w:t>
      </w:r>
      <w:r>
        <w:t xml:space="preserve">7.50 kg CO2e</w:t>
      </w:r>
    </w:p>
    <w:bookmarkEnd w:id="40"/>
    <w:bookmarkStart w:id="41" w:name="X31a83b4b70a317e445d6fef5bd812f4093a77d6"/>
    <w:p>
      <w:pPr>
        <w:pStyle w:val="Heading3"/>
      </w:pPr>
      <w:r>
        <w:t xml:space="preserve">4.2. Scope 2: Purchased Electricity (Manufacturing)</w:t>
      </w:r>
    </w:p>
    <w:p>
      <w:pPr>
        <w:pStyle w:val="FirstParagraph"/>
      </w:pPr>
      <w:r>
        <w:t xml:space="preserve">Emissions from purchased electricity are calculated considering the energy intensity and renewable energy usage at the manufacturing facility.</w:t>
      </w:r>
    </w:p>
    <w:p>
      <w:pPr>
        <w:pStyle w:val="BodyText"/>
      </w:pPr>
      <w:r>
        <w:rPr>
          <w:bCs/>
          <w:b/>
        </w:rPr>
        <w:t xml:space="preserve">Calculation:</w:t>
      </w:r>
      <w:r>
        <w:t xml:space="preserve"> </w:t>
      </w:r>
      <w:r>
        <w:t xml:space="preserve">(Energy Intensity * (1 - Renewable Energy Usage)) * Electricity Emission Factor</w:t>
      </w:r>
    </w:p>
    <w:p>
      <w:pPr>
        <w:numPr>
          <w:ilvl w:val="0"/>
          <w:numId w:val="1012"/>
        </w:numPr>
        <w:pStyle w:val="Compact"/>
      </w:pPr>
      <w:r>
        <w:t xml:space="preserve">Energy Intensity: 50 kWh/unit (qpoyilrqhz)</w:t>
      </w:r>
    </w:p>
    <w:p>
      <w:pPr>
        <w:numPr>
          <w:ilvl w:val="0"/>
          <w:numId w:val="1012"/>
        </w:numPr>
        <w:pStyle w:val="Compact"/>
      </w:pPr>
      <w:r>
        <w:t xml:space="preserve">Renewable Energy Usage: 30% (injqjtmhdu)</w:t>
      </w:r>
    </w:p>
    <w:p>
      <w:pPr>
        <w:numPr>
          <w:ilvl w:val="0"/>
          <w:numId w:val="1012"/>
        </w:numPr>
        <w:pStyle w:val="Compact"/>
      </w:pPr>
      <w:r>
        <w:t xml:space="preserve">Non-Renewable Energy: 50 kWh * (1 - 0.30) = 35 kWh/unit</w:t>
      </w:r>
    </w:p>
    <w:p>
      <w:pPr>
        <w:numPr>
          <w:ilvl w:val="0"/>
          <w:numId w:val="1012"/>
        </w:numPr>
        <w:pStyle w:val="Compact"/>
      </w:pPr>
      <w:r>
        <w:t xml:space="preserve">Electricity Emission Factor: 0.6205 kg CO2e/kWh</w:t>
      </w:r>
    </w:p>
    <w:p>
      <w:pPr>
        <w:pStyle w:val="FirstParagraph"/>
      </w:pPr>
      <w:r>
        <w:rPr>
          <w:bCs/>
          <w:b/>
        </w:rPr>
        <w:t xml:space="preserve">Total Scope 2 (Manufacturing Electricity):</w:t>
      </w:r>
      <w:r>
        <w:t xml:space="preserve"> </w:t>
      </w:r>
      <w:r>
        <w:t xml:space="preserve">35 kWh/unit * 0.6205 kg CO2e/kWh = 21.72 kg CO2e</w:t>
      </w:r>
    </w:p>
    <w:bookmarkEnd w:id="41"/>
    <w:bookmarkStart w:id="44" w:name="X3d2ec352eaedb5edad72b731044b78a6821cd67"/>
    <w:p>
      <w:pPr>
        <w:pStyle w:val="Heading3"/>
      </w:pPr>
      <w:r>
        <w:t xml:space="preserve">4.3. Scope 3: Upstream Transportation and Distribution</w:t>
      </w:r>
    </w:p>
    <w:p>
      <w:pPr>
        <w:pStyle w:val="FirstParagraph"/>
      </w:pPr>
      <w:r>
        <w:t xml:space="preserve">These emissions cover inbound logistics and last-mile delivery. Assuming a total product mass of 1 kg for simplicity of transport calculations (actual mass would be sum of BOM quantities).</w:t>
      </w:r>
    </w:p>
    <w:bookmarkStart w:id="42" w:name="inbound-sea-freight-europe-to-china"/>
    <w:p>
      <w:pPr>
        <w:pStyle w:val="Heading4"/>
      </w:pPr>
      <w:r>
        <w:t xml:space="preserve">4.3.1. Inbound Sea Freight (Europe to China)</w:t>
      </w:r>
    </w:p>
    <w:p>
      <w:pPr>
        <w:pStyle w:val="FirstParagraph"/>
      </w:pPr>
      <w:r>
        <w:rPr>
          <w:bCs/>
          <w:b/>
        </w:rPr>
        <w:t xml:space="preserve">Calculation:</w:t>
      </w:r>
      <w:r>
        <w:t xml:space="preserve"> </w:t>
      </w:r>
      <w:r>
        <w:t xml:space="preserve">Product Mass * Transport Distance * Sea Freight Emission Factor</w:t>
      </w:r>
    </w:p>
    <w:p>
      <w:pPr>
        <w:numPr>
          <w:ilvl w:val="0"/>
          <w:numId w:val="1013"/>
        </w:numPr>
        <w:pStyle w:val="Compact"/>
      </w:pPr>
      <w:r>
        <w:t xml:space="preserve">Product Mass: 1.0 kg (assumption for shipping calculations)</w:t>
      </w:r>
    </w:p>
    <w:p>
      <w:pPr>
        <w:numPr>
          <w:ilvl w:val="0"/>
          <w:numId w:val="1013"/>
        </w:numPr>
        <w:pStyle w:val="Compact"/>
      </w:pPr>
      <w:r>
        <w:t xml:space="preserve">Transport Distance: 20,000 km (wgflloeyht)</w:t>
      </w:r>
    </w:p>
    <w:p>
      <w:pPr>
        <w:numPr>
          <w:ilvl w:val="0"/>
          <w:numId w:val="1013"/>
        </w:numPr>
        <w:pStyle w:val="Compact"/>
      </w:pPr>
      <w:r>
        <w:t xml:space="preserve">Sea Freight Emission Factor: 0.02 kg CO2e/tonne-km = 0.00002 kg CO2e/kg-km (assuming 1 tonne = 1000 kg)</w:t>
      </w:r>
    </w:p>
    <w:p>
      <w:pPr>
        <w:pStyle w:val="FirstParagraph"/>
      </w:pPr>
      <w:r>
        <w:rPr>
          <w:bCs/>
          <w:b/>
        </w:rPr>
        <w:t xml:space="preserve">Total Scope 3 (Sea Freight):</w:t>
      </w:r>
      <w:r>
        <w:t xml:space="preserve"> </w:t>
      </w:r>
      <w:r>
        <w:t xml:space="preserve">1.0 kg * 20,000 km * 0.00002 kg CO2e/kg-km = 0.40 kg CO2e</w:t>
      </w:r>
    </w:p>
    <w:bookmarkEnd w:id="42"/>
    <w:bookmarkStart w:id="43" w:name="last-mile-road-transport-china"/>
    <w:p>
      <w:pPr>
        <w:pStyle w:val="Heading4"/>
      </w:pPr>
      <w:r>
        <w:t xml:space="preserve">4.3.2. Last-Mile Road Transport (China)</w:t>
      </w:r>
    </w:p>
    <w:p>
      <w:pPr>
        <w:pStyle w:val="FirstParagraph"/>
      </w:pPr>
      <w:r>
        <w:rPr>
          <w:bCs/>
          <w:b/>
        </w:rPr>
        <w:t xml:space="preserve">Calculation:</w:t>
      </w:r>
      <w:r>
        <w:t xml:space="preserve"> </w:t>
      </w:r>
      <w:r>
        <w:t xml:space="preserve">Product Mass * Transport Distance * Road Transport Emission Factor</w:t>
      </w:r>
    </w:p>
    <w:p>
      <w:pPr>
        <w:numPr>
          <w:ilvl w:val="0"/>
          <w:numId w:val="1014"/>
        </w:numPr>
        <w:pStyle w:val="Compact"/>
      </w:pPr>
      <w:r>
        <w:t xml:space="preserve">Product Mass: 1.0 kg (assumption for shipping calculations)</w:t>
      </w:r>
    </w:p>
    <w:p>
      <w:pPr>
        <w:numPr>
          <w:ilvl w:val="0"/>
          <w:numId w:val="1014"/>
        </w:numPr>
        <w:pStyle w:val="Compact"/>
      </w:pPr>
      <w:r>
        <w:t xml:space="preserve">Transport Distance: 500 km (wgflloeyht)</w:t>
      </w:r>
    </w:p>
    <w:p>
      <w:pPr>
        <w:numPr>
          <w:ilvl w:val="0"/>
          <w:numId w:val="1014"/>
        </w:numPr>
        <w:pStyle w:val="Compact"/>
      </w:pPr>
      <w:r>
        <w:t xml:space="preserve">Road Transport Emission Factor: 0.1 kg CO2e/tonne-km = 0.0001 kg CO2e/kg-km</w:t>
      </w:r>
    </w:p>
    <w:p>
      <w:pPr>
        <w:pStyle w:val="FirstParagraph"/>
      </w:pPr>
      <w:r>
        <w:rPr>
          <w:bCs/>
          <w:b/>
        </w:rPr>
        <w:t xml:space="preserve">Total Scope 3 (Road Transport):</w:t>
      </w:r>
      <w:r>
        <w:t xml:space="preserve"> </w:t>
      </w:r>
      <w:r>
        <w:t xml:space="preserve">1.0 kg * 500 km * 0.0001 kg CO2e/kg-km = 0.05 kg CO2e</w:t>
      </w:r>
    </w:p>
    <w:p>
      <w:pPr>
        <w:pStyle w:val="BodyText"/>
      </w:pPr>
      <w:r>
        <w:rPr>
          <w:bCs/>
          <w:b/>
        </w:rPr>
        <w:t xml:space="preserve">Total Scope 3 (Transportation):</w:t>
      </w:r>
      <w:r>
        <w:t xml:space="preserve"> </w:t>
      </w:r>
      <w:r>
        <w:t xml:space="preserve">0.40 kg CO2e + 0.05 kg CO2e = 0.45 kg CO2e</w:t>
      </w:r>
    </w:p>
    <w:bookmarkEnd w:id="43"/>
    <w:bookmarkEnd w:id="44"/>
    <w:bookmarkStart w:id="45" w:name="scope-3-use-phase-emissions"/>
    <w:p>
      <w:pPr>
        <w:pStyle w:val="Heading3"/>
      </w:pPr>
      <w:r>
        <w:t xml:space="preserve">4.4. Scope 3: Use Phase Emissions</w:t>
      </w:r>
    </w:p>
    <w:p>
      <w:pPr>
        <w:pStyle w:val="FirstParagraph"/>
      </w:pPr>
      <w:r>
        <w:t xml:space="preserve">These emissions are calculated based on the product\'s energy consumption over its lifespan and the electricity mix where it\'s used. Assuming the product is used in a region with China\'s average electricity grid.</w:t>
      </w:r>
    </w:p>
    <w:p>
      <w:pPr>
        <w:pStyle w:val="BodyText"/>
      </w:pPr>
      <w:r>
        <w:rPr>
          <w:bCs/>
          <w:b/>
        </w:rPr>
        <w:t xml:space="preserve">Calculation:</w:t>
      </w:r>
      <w:r>
        <w:t xml:space="preserve"> </w:t>
      </w:r>
      <w:r>
        <w:t xml:space="preserve">Energy Consumption in Use (per year) * Product Lifespan * Electricity Emission Factor</w:t>
      </w:r>
    </w:p>
    <w:p>
      <w:pPr>
        <w:numPr>
          <w:ilvl w:val="0"/>
          <w:numId w:val="1015"/>
        </w:numPr>
        <w:pStyle w:val="Compact"/>
      </w:pPr>
      <w:r>
        <w:t xml:space="preserve">Energy Consumption in Use: 10 kWh/year (vqnenkihzi)</w:t>
      </w:r>
    </w:p>
    <w:p>
      <w:pPr>
        <w:numPr>
          <w:ilvl w:val="0"/>
          <w:numId w:val="1015"/>
        </w:numPr>
        <w:pStyle w:val="Compact"/>
      </w:pPr>
      <w:r>
        <w:t xml:space="preserve">Product Lifespan: 5 years (pszvysvjef)</w:t>
      </w:r>
    </w:p>
    <w:p>
      <w:pPr>
        <w:numPr>
          <w:ilvl w:val="0"/>
          <w:numId w:val="1015"/>
        </w:numPr>
        <w:pStyle w:val="Compact"/>
      </w:pPr>
      <w:r>
        <w:t xml:space="preserve">Electricity Emission Factor: 0.6205 kg CO2e/kWh</w:t>
      </w:r>
    </w:p>
    <w:p>
      <w:pPr>
        <w:pStyle w:val="FirstParagraph"/>
      </w:pPr>
      <w:r>
        <w:rPr>
          <w:bCs/>
          <w:b/>
        </w:rPr>
        <w:t xml:space="preserve">Total Scope 3 (Use Phase):</w:t>
      </w:r>
      <w:r>
        <w:t xml:space="preserve"> </w:t>
      </w:r>
      <w:r>
        <w:t xml:space="preserve">10 kWh/year * 5 years * 0.6205 kg CO2e/kWh = 31.03 kg CO2e</w:t>
      </w:r>
    </w:p>
    <w:bookmarkEnd w:id="45"/>
    <w:bookmarkStart w:id="46" w:name="scope-3-end-of-life-treatment-emissions"/>
    <w:p>
      <w:pPr>
        <w:pStyle w:val="Heading3"/>
      </w:pPr>
      <w:r>
        <w:t xml:space="preserve">4.5. Scope 3: End-of-Life Treatment Emissions</w:t>
      </w:r>
    </w:p>
    <w:p>
      <w:pPr>
        <w:pStyle w:val="FirstParagraph"/>
      </w:pPr>
      <w:r>
        <w:t xml:space="preserve">These emissions account for disposal and recycling, incorporating the recyclability percentage and potential recycling credits. Assuming total product mass is 1 kg.</w:t>
      </w:r>
    </w:p>
    <w:p>
      <w:pPr>
        <w:pStyle w:val="BodyText"/>
      </w:pPr>
      <w:r>
        <w:rPr>
          <w:bCs/>
          <w:b/>
        </w:rPr>
        <w:t xml:space="preserve">Calculation:</w:t>
      </w:r>
      <w:r>
        <w:t xml:space="preserve"> </w:t>
      </w:r>
      <w:r>
        <w:t xml:space="preserve">(Product Mass * (1 - Recyclability Percentage) * Landfill Emission Factor) + (Product Mass * Recyclability Percentage * Recycling Credit Factor)</w:t>
      </w:r>
    </w:p>
    <w:p>
      <w:pPr>
        <w:numPr>
          <w:ilvl w:val="0"/>
          <w:numId w:val="1016"/>
        </w:numPr>
        <w:pStyle w:val="Compact"/>
      </w:pPr>
      <w:r>
        <w:t xml:space="preserve">Product Mass: 1.0 kg</w:t>
      </w:r>
    </w:p>
    <w:p>
      <w:pPr>
        <w:numPr>
          <w:ilvl w:val="0"/>
          <w:numId w:val="1016"/>
        </w:numPr>
        <w:pStyle w:val="Compact"/>
      </w:pPr>
      <w:r>
        <w:t xml:space="preserve">Recyclability Percentage: 70% (pzuusuinly)</w:t>
      </w:r>
    </w:p>
    <w:p>
      <w:pPr>
        <w:numPr>
          <w:ilvl w:val="0"/>
          <w:numId w:val="1016"/>
        </w:numPr>
        <w:pStyle w:val="Compact"/>
      </w:pPr>
      <w:r>
        <w:t xml:space="preserve">Non-Recycled Waste: 1.0 kg * (1 - 0.70) = 0.3 kg</w:t>
      </w:r>
    </w:p>
    <w:p>
      <w:pPr>
        <w:numPr>
          <w:ilvl w:val="0"/>
          <w:numId w:val="1016"/>
        </w:numPr>
        <w:pStyle w:val="Compact"/>
      </w:pPr>
      <w:r>
        <w:t xml:space="preserve">Recycled Material: 1.0 kg * 0.70 = 0.7 kg</w:t>
      </w:r>
    </w:p>
    <w:p>
      <w:pPr>
        <w:numPr>
          <w:ilvl w:val="0"/>
          <w:numId w:val="1016"/>
        </w:numPr>
        <w:pStyle w:val="Compact"/>
      </w:pPr>
      <w:r>
        <w:t xml:space="preserve">Landfill Emission Factor: 0.5 kg CO2e/kg (illustrative)</w:t>
      </w:r>
    </w:p>
    <w:p>
      <w:pPr>
        <w:numPr>
          <w:ilvl w:val="0"/>
          <w:numId w:val="1016"/>
        </w:numPr>
        <w:pStyle w:val="Compact"/>
      </w:pPr>
      <w:r>
        <w:t xml:space="preserve">Recycling Credit Factor: -2.0 kg CO2e/kg (illustrative, reflecting avoided virgin material production)</w:t>
      </w:r>
    </w:p>
    <w:p>
      <w:pPr>
        <w:pStyle w:val="FirstParagraph"/>
      </w:pPr>
      <w:r>
        <w:rPr>
          <w:bCs/>
          <w:b/>
        </w:rPr>
        <w:t xml:space="preserve">Emissions from Landfill:</w:t>
      </w:r>
      <w:r>
        <w:t xml:space="preserve"> </w:t>
      </w:r>
      <w:r>
        <w:t xml:space="preserve">0.3 kg * 0.5 kg CO2e/kg = 0.15 kg CO2e</w:t>
      </w:r>
    </w:p>
    <w:p>
      <w:pPr>
        <w:pStyle w:val="BodyText"/>
      </w:pPr>
      <w:r>
        <w:rPr>
          <w:bCs/>
          <w:b/>
        </w:rPr>
        <w:t xml:space="preserve">Emissions from Recycling (Credit):</w:t>
      </w:r>
      <w:r>
        <w:t xml:space="preserve"> </w:t>
      </w:r>
      <w:r>
        <w:t xml:space="preserve">0.7 kg * -2.0 kg CO2e/kg = -1.40 kg CO2e</w:t>
      </w:r>
    </w:p>
    <w:p>
      <w:pPr>
        <w:pStyle w:val="BodyText"/>
      </w:pPr>
      <w:r>
        <w:rPr>
          <w:bCs/>
          <w:b/>
        </w:rPr>
        <w:t xml:space="preserve">Total Scope 3 (End-of-Life):</w:t>
      </w:r>
      <w:r>
        <w:t xml:space="preserve"> </w:t>
      </w:r>
      <w:r>
        <w:t xml:space="preserve">0.15 kg CO2e + (-1.40 kg CO2e) = -1.25 kg CO2e (net removal due to recycling credits)</w:t>
      </w:r>
    </w:p>
    <w:bookmarkEnd w:id="46"/>
    <w:bookmarkStart w:id="47"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Production (e.g., on-site fuel combustion)</w:t>
            </w:r>
          </w:p>
        </w:tc>
        <w:tc>
          <w:tcPr/>
          <w:p>
            <w:pPr>
              <w:pStyle w:val="Compact"/>
              <w:jc w:val="left"/>
            </w:pPr>
            <w:r>
              <w:t xml:space="preserve">0.00</w:t>
            </w:r>
            <w:r>
              <w:t xml:space="preserve"> </w:t>
            </w:r>
            <w:r>
              <w:rPr>
                <w:vertAlign w:val="superscript"/>
              </w:rPr>
              <w:t xml:space="preserve">(a)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21.72</w:t>
            </w:r>
          </w:p>
        </w:tc>
      </w:tr>
      <w:tr>
        <w:tc>
          <w:tcPr>
            <w:vMerge w:val="restart"/>
          </w:tcPr>
          <w:p>
            <w:pPr>
              <w:pStyle w:val="Compact"/>
              <w:jc w:val="left"/>
            </w:pPr>
            <w:r>
              <w:t xml:space="preserve">Scope 3</w:t>
            </w:r>
          </w:p>
        </w:tc>
        <w:tc>
          <w:tcPr/>
          <w:p>
            <w:pPr>
              <w:pStyle w:val="Compact"/>
              <w:jc w:val="left"/>
            </w:pPr>
            <w:r>
              <w:t xml:space="preserve">Upstream Materials (Purchased Goods &amp; Services)</w:t>
            </w:r>
          </w:p>
        </w:tc>
        <w:tc>
          <w:tcPr/>
          <w:p>
            <w:pPr>
              <w:pStyle w:val="Compact"/>
              <w:jc w:val="left"/>
            </w:pPr>
            <w:r>
              <w:t xml:space="preserve">7.50</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0.45</w:t>
            </w:r>
          </w:p>
        </w:tc>
      </w:tr>
      <w:tr>
        <w:tc>
          <w:tcPr>
            <w:gridSpan w:val="1"/>
            <w:vMerge w:val="continue"/>
          </w:tcPr>
          <w:p>
            <w:pPr/>
          </w:p>
        </w:tc>
        <w:tc>
          <w:tcPr/>
          <w:p>
            <w:pPr>
              <w:pStyle w:val="Compact"/>
              <w:jc w:val="left"/>
            </w:pPr>
            <w:r>
              <w:t xml:space="preserve">Use of Sold Products</w:t>
            </w:r>
          </w:p>
        </w:tc>
        <w:tc>
          <w:tcPr/>
          <w:p>
            <w:pPr>
              <w:pStyle w:val="Compact"/>
              <w:jc w:val="left"/>
            </w:pPr>
            <w:r>
              <w:t xml:space="preserve">31.03</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-1.25</w:t>
            </w:r>
            <w:r>
              <w:t xml:space="preserve"> </w:t>
            </w:r>
            <w:r>
              <w:rPr>
                <w:vertAlign w:val="superscript"/>
              </w:rPr>
              <w:t xml:space="preserve">(b)</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59.45 kg CO2e</w:t>
            </w:r>
          </w:p>
        </w:tc>
      </w:tr>
    </w:tbl>
    <w:p>
      <w:pPr>
        <w:pStyle w:val="BodyText"/>
      </w:pPr>
      <w:r>
        <w:rPr>
          <w:vertAlign w:val="superscript"/>
        </w:rPr>
        <w:t xml:space="preserve">(a)</w:t>
      </w:r>
      <w:r>
        <w:t xml:space="preserve"> </w:t>
      </w:r>
      <w:r>
        <w:t xml:space="preserve">Assumed to be negligible for this analysis without specific data on on-site fuel combustion or process emissions for \'luzvigrjkl\'.</w:t>
      </w:r>
    </w:p>
    <w:p>
      <w:pPr>
        <w:pStyle w:val="BodyText"/>
      </w:pPr>
      <w:r>
        <w:rPr>
          <w:vertAlign w:val="superscript"/>
        </w:rPr>
        <w:t xml:space="preserve">(b)</w:t>
      </w:r>
      <w:r>
        <w:t xml:space="preserve"> </w:t>
      </w:r>
      <w:r>
        <w:t xml:space="preserve">Negative value indicates a net carbon removal or avoided emissions due to high recycling rates and circular economy initiatives.</w:t>
      </w:r>
    </w:p>
    <w:p>
      <w:r>
        <w:pict>
          <v:rect style="width:0;height:1.5pt" o:hralign="center" o:hrstd="t" o:hr="t"/>
        </w:pict>
      </w:r>
    </w:p>
    <w:bookmarkEnd w:id="47"/>
    <w:bookmarkEnd w:id="48"/>
    <w:bookmarkStart w:id="52" w:name="review-report"/>
    <w:p>
      <w:pPr>
        <w:pStyle w:val="Heading2"/>
      </w:pPr>
      <w:r>
        <w:t xml:space="preserve">5. Review &amp; Report</w:t>
      </w:r>
    </w:p>
    <w:bookmarkStart w:id="49" w:name="identification-of-hotspots"/>
    <w:p>
      <w:pPr>
        <w:pStyle w:val="Heading3"/>
      </w:pPr>
      <w:r>
        <w:t xml:space="preserve">5.1. Identification of Hotspots</w:t>
      </w:r>
    </w:p>
    <w:p>
      <w:pPr>
        <w:pStyle w:val="FirstParagraph"/>
      </w:pPr>
      <w:r>
        <w:t xml:space="preserve">Based on the illustrative calculations, the primary hotspots for the \'luzvigrjkl\' product are:</w:t>
      </w:r>
    </w:p>
    <w:p>
      <w:pPr>
        <w:numPr>
          <w:ilvl w:val="0"/>
          <w:numId w:val="1017"/>
        </w:numPr>
        <w:pStyle w:val="Compact"/>
      </w:pPr>
      <w:r>
        <w:rPr>
          <w:bCs/>
          <w:b/>
        </w:rPr>
        <w:t xml:space="preserve">Use Phase (52.2%):</w:t>
      </w:r>
      <w:r>
        <w:t xml:space="preserve"> </w:t>
      </w:r>
      <w:r>
        <w:t xml:space="preserve">The energy consumed during the product\'s lifespan is the single largest contributor to its PCF (31.03 kg CO2e out of 59.45 kg CO2e). This highlights the importance of energy-efficient design and the impact of the electricity grid mix where the product is used.</w:t>
      </w:r>
    </w:p>
    <w:p>
      <w:pPr>
        <w:numPr>
          <w:ilvl w:val="0"/>
          <w:numId w:val="1017"/>
        </w:numPr>
        <w:pStyle w:val="Compact"/>
      </w:pPr>
      <w:r>
        <w:rPr>
          <w:bCs/>
          <w:b/>
        </w:rPr>
        <w:t xml:space="preserve">Purchased Electricity for Manufacturing (36.5%):</w:t>
      </w:r>
      <w:r>
        <w:t xml:space="preserve"> </w:t>
      </w:r>
      <w:r>
        <w:t xml:space="preserve">The electricity used in the manufacturing process is the second largest contributor (21.72 kg CO2e). Increasing renewable energy usage beyond 30% or improving energy efficiency in production would significantly reduce this impact.</w:t>
      </w:r>
    </w:p>
    <w:p>
      <w:pPr>
        <w:numPr>
          <w:ilvl w:val="0"/>
          <w:numId w:val="1017"/>
        </w:numPr>
        <w:pStyle w:val="Compact"/>
      </w:pPr>
      <w:r>
        <w:rPr>
          <w:bCs/>
          <w:b/>
        </w:rPr>
        <w:t xml:space="preserve">Upstream Materials (12.6%):</w:t>
      </w:r>
      <w:r>
        <w:t xml:space="preserve"> </w:t>
      </w:r>
      <w:r>
        <w:t xml:space="preserve">The embodied emissions in the raw materials contribute a notable portion (7.50 kg CO2e), emphasizing the need for sustainable material sourcing and design for material efficiency.</w:t>
      </w:r>
    </w:p>
    <w:p>
      <w:pPr>
        <w:numPr>
          <w:ilvl w:val="0"/>
          <w:numId w:val="1017"/>
        </w:numPr>
        <w:pStyle w:val="Compact"/>
      </w:pPr>
      <w:r>
        <w:rPr>
          <w:bCs/>
          <w:b/>
        </w:rPr>
        <w:t xml:space="preserve">End-of-Life (Net Removal):</w:t>
      </w:r>
      <w:r>
        <w:t xml:space="preserve"> </w:t>
      </w:r>
      <w:r>
        <w:t xml:space="preserve">The high assumed recyclability percentage, combined with the presence of circular programs (`euvuttskqi`), results in a net carbon credit, demonstrating the potential for circular economy strategies to reduce overall product footprint.</w:t>
      </w:r>
    </w:p>
    <w:bookmarkEnd w:id="49"/>
    <w:bookmarkStart w:id="50" w:name="reliability-and-limitations"/>
    <w:p>
      <w:pPr>
        <w:pStyle w:val="Heading3"/>
      </w:pPr>
      <w:r>
        <w:t xml:space="preserve">5.2. Reliability and Limitations</w:t>
      </w:r>
    </w:p>
    <w:p>
      <w:pPr>
        <w:numPr>
          <w:ilvl w:val="0"/>
          <w:numId w:val="1018"/>
        </w:numPr>
        <w:pStyle w:val="Compact"/>
      </w:pPr>
      <w:r>
        <w:rPr>
          <w:bCs/>
          <w:b/>
        </w:rPr>
        <w:t xml:space="preserve">Data Specificity:</w:t>
      </w:r>
      <w:r>
        <w:t xml:space="preserve"> </w:t>
      </w:r>
      <w:r>
        <w:t xml:space="preserve">The accuracy of this report is highly dependent on the quality and specificity of the input data. For this report, several parameters (BOM, transport distance, energy usage, lifespan, recyclability) were provided as placeholders (`xzpkdirh`, `wgflloeyht`, `injqjtmhdu`, `qpoyilrqhz`, `pszvysvjef`, `vqnenkihzi`, `pzuusuinly`, `euvuttskqi`) and therefore represented by illustrative example values. A definitive PCF requires primary, product-specific data where available.</w:t>
      </w:r>
    </w:p>
    <w:p>
      <w:pPr>
        <w:numPr>
          <w:ilvl w:val="0"/>
          <w:numId w:val="1018"/>
        </w:numPr>
        <w:pStyle w:val="Compact"/>
      </w:pPr>
      <w:r>
        <w:rPr>
          <w:bCs/>
          <w:b/>
        </w:rPr>
        <w:t xml:space="preserve">Emission Factors:</w:t>
      </w:r>
      <w:r>
        <w:t xml:space="preserve"> </w:t>
      </w:r>
      <w:r>
        <w:t xml:space="preserve">While industry-standard emission factors (e.g., from Ecoinvent/DEFRA, CAEP) are recommended, the illustrative factors used here are generalized. More precise, location-specific, and up-to-date emission factors would enhance accuracy.</w:t>
      </w:r>
    </w:p>
    <w:p>
      <w:pPr>
        <w:numPr>
          <w:ilvl w:val="0"/>
          <w:numId w:val="1018"/>
        </w:numPr>
        <w:pStyle w:val="Compact"/>
      </w:pPr>
      <w:r>
        <w:rPr>
          <w:bCs/>
          <w:b/>
        </w:rPr>
        <w:t xml:space="preserve">System Boundary:</w:t>
      </w:r>
      <w:r>
        <w:t xml:space="preserve"> </w:t>
      </w:r>
      <w:r>
        <w:t xml:space="preserve">The "factory_gate" boundary augmented with use and end-of-life provides a good overview, but a full "cradle-to-grave" analysis covering all Scope 3 categories would offer an even more comprehensive picture.</w:t>
      </w:r>
    </w:p>
    <w:p>
      <w:pPr>
        <w:numPr>
          <w:ilvl w:val="0"/>
          <w:numId w:val="1018"/>
        </w:numPr>
        <w:pStyle w:val="Compact"/>
      </w:pPr>
      <w:r>
        <w:rPr>
          <w:bCs/>
          <w:b/>
        </w:rPr>
        <w:t xml:space="preserve">2026 LSR Standard:</w:t>
      </w:r>
      <w:r>
        <w:t xml:space="preserve"> </w:t>
      </w:r>
      <w:r>
        <w:t xml:space="preserve">The LSR Standard\'s full implementation details and accompanying guidance are still being finalized (guidance expected Q2 2026). Its specific implications for products with complex land-based material origins will become clearer with further industry interpretation. For this product, the main relevance would be for biogenic materials, which were not explicitly detailed in the placeholder BOM.</w:t>
      </w:r>
    </w:p>
    <w:p>
      <w:pPr>
        <w:numPr>
          <w:ilvl w:val="0"/>
          <w:numId w:val="1018"/>
        </w:numPr>
        <w:pStyle w:val="Compact"/>
      </w:pPr>
      <w:r>
        <w:rPr>
          <w:bCs/>
          <w:b/>
        </w:rPr>
        <w:t xml:space="preserve">Scope 3 Coverage:</w:t>
      </w:r>
      <w:r>
        <w:t xml:space="preserve"> </w:t>
      </w:r>
      <w:r>
        <w:t xml:space="preserve">While a 95% Scope 3 coverage target is a critical requirement for 2026, achieving it relies on robust data collection across the entire value chain. The current analysis, being illustrative, assumes this completeness would be met with real data. The mandatory data disaggregation by source type (primary vs. secondary) introduced in the 2026 Scope 3 revisions will further enhance transparency.</w:t>
      </w:r>
    </w:p>
    <w:bookmarkEnd w:id="50"/>
    <w:bookmarkStart w:id="51" w:name="recommendations"/>
    <w:p>
      <w:pPr>
        <w:pStyle w:val="Heading3"/>
      </w:pPr>
      <w:r>
        <w:t xml:space="preserve">5.3. Recommendations</w:t>
      </w:r>
    </w:p>
    <w:p>
      <w:pPr>
        <w:pStyle w:val="FirstParagraph"/>
      </w:pPr>
      <w:r>
        <w:t xml:space="preserve">To further reduce the PCF of \'luzvigrjkl\', ugypgokitk should consider:</w:t>
      </w:r>
    </w:p>
    <w:p>
      <w:pPr>
        <w:numPr>
          <w:ilvl w:val="0"/>
          <w:numId w:val="1019"/>
        </w:numPr>
        <w:pStyle w:val="Compact"/>
      </w:pPr>
      <w:r>
        <w:rPr>
          <w:bCs/>
          <w:b/>
        </w:rPr>
        <w:t xml:space="preserve">Energy Efficiency in Use:</w:t>
      </w:r>
      <w:r>
        <w:t xml:space="preserve"> </w:t>
      </w:r>
      <w:r>
        <w:t xml:space="preserve">Prioritize design improvements that reduce the product\'s energy consumption during its operational lifespan. This has the largest potential for impact reduction.</w:t>
      </w:r>
    </w:p>
    <w:p>
      <w:pPr>
        <w:numPr>
          <w:ilvl w:val="0"/>
          <w:numId w:val="1019"/>
        </w:numPr>
        <w:pStyle w:val="Compact"/>
      </w:pPr>
      <w:r>
        <w:rPr>
          <w:bCs/>
          <w:b/>
        </w:rPr>
        <w:t xml:space="preserve">Renewable Energy Sourcing:</w:t>
      </w:r>
      <w:r>
        <w:t xml:space="preserve"> </w:t>
      </w:r>
      <w:r>
        <w:t xml:space="preserve">Increase the percentage of renewable energy used in manufacturing operations in China. Explore options for purchasing renewable energy certificates (RECs) or investing in on-site renewable energy generation.</w:t>
      </w:r>
    </w:p>
    <w:p>
      <w:pPr>
        <w:numPr>
          <w:ilvl w:val="0"/>
          <w:numId w:val="1019"/>
        </w:numPr>
        <w:pStyle w:val="Compact"/>
      </w:pPr>
      <w:r>
        <w:rPr>
          <w:bCs/>
          <w:b/>
        </w:rPr>
        <w:t xml:space="preserve">Sustainable Material Sourcing:</w:t>
      </w:r>
      <w:r>
        <w:t xml:space="preserve"> </w:t>
      </w:r>
      <w:r>
        <w:t xml:space="preserve">Investigate opportunities to source lower-carbon alternative materials, including recycled content, bio-based materials (with LSR considerations), and materials produced with renewable energy.</w:t>
      </w:r>
    </w:p>
    <w:p>
      <w:pPr>
        <w:numPr>
          <w:ilvl w:val="0"/>
          <w:numId w:val="1019"/>
        </w:numPr>
        <w:pStyle w:val="Compact"/>
      </w:pPr>
      <w:r>
        <w:rPr>
          <w:bCs/>
          <w:b/>
        </w:rPr>
        <w:t xml:space="preserve">Supply Chain Engagement:</w:t>
      </w:r>
      <w:r>
        <w:t xml:space="preserve"> </w:t>
      </w:r>
      <w:r>
        <w:t xml:space="preserve">Work closely with material and component suppliers to gather primary data and identify opportunities for their decarbonization efforts.</w:t>
      </w:r>
    </w:p>
    <w:p>
      <w:pPr>
        <w:numPr>
          <w:ilvl w:val="0"/>
          <w:numId w:val="1019"/>
        </w:numPr>
        <w:pStyle w:val="Compact"/>
      </w:pPr>
      <w:r>
        <w:rPr>
          <w:bCs/>
          <w:b/>
        </w:rPr>
        <w:t xml:space="preserve">Circular Economy Design:</w:t>
      </w:r>
      <w:r>
        <w:t xml:space="preserve"> </w:t>
      </w:r>
      <w:r>
        <w:t xml:space="preserve">Enhance product design for durability, repairability, and higher recyclability rates, and actively promote and expand circular/take-back programs.</w:t>
      </w:r>
    </w:p>
    <w:p>
      <w:r>
        <w:pict>
          <v:rect style="width:0;height:1.5pt" o:hralign="center" o:hrstd="t" o:hr="t"/>
        </w:pict>
      </w:r>
    </w:p>
    <w:bookmarkEnd w:id="51"/>
    <w:bookmarkEnd w:id="5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luzvigrjkl</dc:title>
  <dc:creator/>
  <dc:description>High-detail Product Carbon Footprint (PCF) analysis report for luzvigrjkl, performed by Senior Sustainability Consultant jejrzhjheo for ugypgokitk, adhering to GHG Protocol standards and 2026 updates.</dc:description>
  <dc:language>en</dc:language>
  <cp:keywords/>
  <dcterms:created xsi:type="dcterms:W3CDTF">2026-07-14T23:51:52Z</dcterms:created>
  <dcterms:modified xsi:type="dcterms:W3CDTF">2026-07-14T23:51:52Z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