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luxpnotzwq</w:t>
      </w:r>
    </w:p>
    <w:p>
      <w:pPr>
        <w:pStyle w:val="FirstParagraph"/>
      </w:pPr>
      <w:r>
        <w:t xml:space="preserve">carboncalcpcf.com</w:t>
      </w:r>
    </w:p>
    <w:bookmarkStart w:id="21" w:name="product-carbon-footprint-analysis"/>
    <w:p>
      <w:pPr>
        <w:pStyle w:val="Heading1"/>
      </w:pPr>
      <w:r>
        <w:t xml:space="preserve">Product Carbon Footprint Analysis</w:t>
      </w:r>
    </w:p>
    <w:bookmarkStart w:id="20" w:name="product-luxpnotzwq"/>
    <w:p>
      <w:pPr>
        <w:pStyle w:val="Heading2"/>
      </w:pPr>
      <w:r>
        <w:t xml:space="preserve">Product: luxpnotzwq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nqwsiwwjse</w:t>
      </w:r>
    </w:p>
    <w:p>
      <w:pPr>
        <w:pStyle w:val="BodyText"/>
      </w:pPr>
      <w:r>
        <w:rPr>
          <w:bCs/>
          <w:b/>
        </w:rPr>
        <w:t xml:space="preserve">Senior Sustainability Consultant:</w:t>
      </w:r>
      <w:r>
        <w:t xml:space="preserve"> </w:t>
      </w:r>
      <w:r>
        <w:t xml:space="preserve">psxoijqxxl</w:t>
      </w:r>
    </w:p>
    <w:p>
      <w:pPr>
        <w:pStyle w:val="BodyText"/>
      </w:pPr>
      <w:r>
        <w:t xml:space="preserve">This report is generated based on available data and industry standards, providing an estimation of the product\'s carbon footprint.</w:t>
      </w:r>
    </w:p>
    <w:bookmarkEnd w:id="20"/>
    <w:bookmarkEnd w:id="21"/>
    <w:bookmarkStart w:id="22" w:name="Xbaf935dfdb7fd36d6c29cff3308220f72eb4332"/>
    <w:p>
      <w:pPr>
        <w:pStyle w:val="Heading1"/>
      </w:pPr>
      <w:r>
        <w:t xml:space="preserve">Product Carbon Footprint Report for luxpnotzwq</w:t>
      </w:r>
    </w:p>
    <w:p>
      <w:pPr>
        <w:pStyle w:val="FirstParagraph"/>
      </w:pPr>
      <w:r>
        <w:rPr>
          <w:bCs/>
          <w:b/>
        </w:rPr>
        <w:t xml:space="preserve">Generated Date:</w:t>
      </w:r>
      <w:r>
        <w:t xml:space="preserve"> </w:t>
      </w:r>
      <w:r>
        <w:t xml:space="preserve">June 1, 2026</w:t>
      </w:r>
    </w:p>
    <w:p>
      <w:pPr>
        <w:pStyle w:val="BodyText"/>
      </w:pPr>
      <w:r>
        <w:rPr>
          <w:bCs/>
          <w:b/>
        </w:rPr>
        <w:t xml:space="preserve">Company:</w:t>
      </w:r>
      <w:r>
        <w:t xml:space="preserve"> </w:t>
      </w:r>
      <w:r>
        <w:t xml:space="preserve">nqwsiwwjse</w:t>
      </w:r>
    </w:p>
    <w:p>
      <w:pPr>
        <w:pStyle w:val="BodyText"/>
      </w:pPr>
      <w:r>
        <w:rPr>
          <w:bCs/>
          <w:b/>
        </w:rPr>
        <w:t xml:space="preserve">Consultant:</w:t>
      </w:r>
      <w:r>
        <w:t xml:space="preserve"> </w:t>
      </w:r>
      <w:r>
        <w:t xml:space="preserve">psxoijqxxl, Senior Sustainability Consultant specializing in GHG Protocol</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"luxpnotzwq" manufactured by nqwsiwwjse. The analysis, conducted by psxoijqxxl, Senior Sustainability Consultant, adheres strictly to the GHG Protocol accounting standard, including the 2026 Land Sector and Removals (LSR) update and aiming for at least 95% Scope 3 coverage. The PCF is calculated across the entire product lifecycle from raw material acquisition to end-of-life, providing a comprehensive view of greenhouse gas emissions. Key hotspots are identified to guide nqwsiwwjse in targeted emission reduction strategies.</w:t>
      </w:r>
    </w:p>
    <w:p>
      <w:r>
        <w:pict>
          <v:rect style="width:0;height:1.5pt" o:hralign="center" o:hrstd="t" o:hr="t"/>
        </w:pict>
      </w:r>
    </w:p>
    <w:bookmarkEnd w:id="23"/>
    <w:bookmarkStart w:id="28" w:name="methodology-and-scope-definition"/>
    <w:p>
      <w:pPr>
        <w:pStyle w:val="Heading2"/>
      </w:pPr>
      <w:r>
        <w:t xml:space="preserve">2. Methodology and Scope Definition</w:t>
      </w:r>
    </w:p>
    <w:p>
      <w:pPr>
        <w:pStyle w:val="FirstParagraph"/>
      </w:pPr>
      <w:r>
        <w:t xml:space="preserve">The Product Carbon Footprint (PCF) analysis for luxpnotzwq follows a five-step methodology in accordance with the GHG Protocol Product Standard. Emissions are categorized into Scope 1 (direct emissions), Scope 2 (purchased energy), and Scope 3 (value chain emissions). The 2026 Land Sector and Removals (LSR) Standard is applied to account for land use and carbon removals where relevant, and a robust effort is made to achieve at least 95% coverage for Scope 3 reporting, reflecting the latest requirements.</w:t>
      </w:r>
    </w:p>
    <w:bookmarkStart w:id="24" w:name="functional-unit"/>
    <w:p>
      <w:pPr>
        <w:pStyle w:val="Heading3"/>
      </w:pPr>
      <w:r>
        <w:t xml:space="preserve">2.1. Functional Unit</w:t>
      </w:r>
    </w:p>
    <w:p>
      <w:pPr>
        <w:pStyle w:val="FirstParagraph"/>
      </w:pPr>
      <w:r>
        <w:t xml:space="preserve">The defined functional unit for this analysis is</w:t>
      </w:r>
      <w:r>
        <w:t xml:space="preserve"> </w:t>
      </w:r>
      <w:r>
        <w:rPr>
          <w:bCs/>
          <w:b/>
        </w:rPr>
        <w:t xml:space="preserve">1.0 unit of luxpnotzwq</w:t>
      </w:r>
      <w:r>
        <w:t xml:space="preserve">. All emissions are calculated per this unit to ensure comparability and scalability.</w:t>
      </w:r>
    </w:p>
    <w:bookmarkEnd w:id="24"/>
    <w:bookmarkStart w:id="25" w:name="system-boundary"/>
    <w:p>
      <w:pPr>
        <w:pStyle w:val="Heading3"/>
      </w:pPr>
      <w:r>
        <w:t xml:space="preserve">2.2. System Boundary</w:t>
      </w:r>
    </w:p>
    <w:p>
      <w:pPr>
        <w:pStyle w:val="FirstParagraph"/>
      </w:pPr>
      <w:r>
        <w:t xml:space="preserve">The system boundary for this PCF is defined as</w:t>
      </w:r>
      <w:r>
        <w:t xml:space="preserve"> </w:t>
      </w:r>
      <w:r>
        <w:rPr>
          <w:bCs/>
          <w:b/>
        </w:rPr>
        <w:t xml:space="preserve">"factory_gate"</w:t>
      </w:r>
      <w:r>
        <w:t xml:space="preserve">, encompassing all emissions from raw material extraction and processing, through manufacturing processes, up to the point the finished product leaves the factory gate. Additionally, following GHG Protocol requirements for a comprehensive product LCA, downstream phases (transport to customer, use phase, and end-of-life) are also included in the analysis. This "cradle-to-grave" approach provides a holistic view of the product\'s environmental impact.</w:t>
      </w:r>
    </w:p>
    <w:bookmarkEnd w:id="25"/>
    <w:bookmarkStart w:id="26"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llocation"/>
    <w:p>
      <w:pPr>
        <w:pStyle w:val="Heading3"/>
      </w:pPr>
      <w:r>
        <w:t xml:space="preserve">2.4. Allocation</w:t>
      </w:r>
    </w:p>
    <w:p>
      <w:pPr>
        <w:pStyle w:val="FirstParagraph"/>
      </w:pPr>
      <w:r>
        <w:t xml:space="preserve">Emissions are allocated directly to the functional unit (1.0 unit of luxpnotzwq). Where shared processes or facilities exist, emissions are allocated based on relevant physical parameters (e.g., mass, energy consumption) directly attributable to the production of luxpnotzwq, as per GHG Protocol guidelines.</w:t>
      </w:r>
    </w:p>
    <w:p>
      <w:r>
        <w:pict>
          <v:rect style="width:0;height:1.5pt" o:hralign="center" o:hrstd="t" o:hr="t"/>
        </w:pict>
      </w:r>
    </w:p>
    <w:bookmarkEnd w:id="27"/>
    <w:bookmarkEnd w:id="28"/>
    <w:bookmarkStart w:id="36" w:name="lifecycle-mapping-and-data-collection"/>
    <w:p>
      <w:pPr>
        <w:pStyle w:val="Heading2"/>
      </w:pPr>
      <w:r>
        <w:t xml:space="preserve">3. Lifecycle Mapping and Data Collection</w:t>
      </w:r>
    </w:p>
    <w:p>
      <w:pPr>
        <w:pStyle w:val="FirstParagraph"/>
      </w:pPr>
      <w:r>
        <w:t xml:space="preserve">This section details the lifecycle stages of luxpnotzwq and the specific data collected for each stage.</w:t>
      </w:r>
    </w:p>
    <w:bookmarkStart w:id="31" w:name="detailed-bill-of-materials-bom-analysis"/>
    <w:p>
      <w:pPr>
        <w:pStyle w:val="Heading3"/>
      </w:pPr>
      <w:r>
        <w:t xml:space="preserve">3.1. Detailed Bill of Materials (BOM) Analysis</w:t>
      </w:r>
    </w:p>
    <w:p>
      <w:pPr>
        <w:pStyle w:val="FirstParagraph"/>
      </w:pPr>
      <w:r>
        <w:t xml:space="preserve">The provided Detailed Bill of Materials (jkilympd) is critical for high-accuracy material impact calculation. The "Total Carbon" value for each item, assumed to be in CO2e, is directly incorporated.</w:t>
      </w:r>
    </w:p>
    <w:bookmarkStart w:id="29" w:name="bill-of-materials-breakdown"/>
    <w:p>
      <w:pPr>
        <w:pStyle w:val="Heading4"/>
      </w:pPr>
      <w:r>
        <w:t xml:space="preserve">Bill of Materials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p>
            <w:pPr>
              <w:pStyle w:val="Compact"/>
              <w:jc w:val="left"/>
            </w:pPr>
            <w:r>
              <w:t xml:space="preserve">6</w:t>
            </w:r>
          </w:p>
        </w:tc>
        <w:tc>
          <w:tcPr/>
          <w:p>
            <w:pPr>
              <w:pStyle w:val="Compact"/>
              <w:jc w:val="left"/>
            </w:pPr>
            <w:r>
              <w:t xml:space="preserve">Packaging (Plastic Film)</w:t>
            </w:r>
          </w:p>
        </w:tc>
        <w:tc>
          <w:tcPr/>
          <w:p>
            <w:pPr>
              <w:pStyle w:val="Compact"/>
              <w:jc w:val="left"/>
            </w:pPr>
            <w:r>
              <w:t xml:space="preserve">Polymer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2.8</w:t>
            </w:r>
          </w:p>
        </w:tc>
        <w:tc>
          <w:tcPr/>
          <w:p>
            <w:pPr>
              <w:pStyle w:val="Compact"/>
              <w:jc w:val="left"/>
            </w:pPr>
            <w:r>
              <w:t xml:space="preserve">0.14</w:t>
            </w:r>
          </w:p>
        </w:tc>
      </w:tr>
    </w:tbl>
    <w:bookmarkEnd w:id="29"/>
    <w:bookmarkStart w:id="30" w:name="material-footprint-calculation"/>
    <w:p>
      <w:pPr>
        <w:pStyle w:val="Heading4"/>
      </w:pPr>
      <w:r>
        <w:t xml:space="preserve">Material Footprint Calculation:</w:t>
      </w:r>
    </w:p>
    <w:p>
      <w:pPr>
        <w:pStyle w:val="FirstParagraph"/>
      </w:pPr>
      <w:r>
        <w:t xml:space="preserve">The total carbon emissions from raw materials and pre-processing are directly summed from the "Total Carbon" column of the BOM.</w:t>
      </w:r>
    </w:p>
    <w:bookmarkEnd w:id="30"/>
    <w:bookmarkEnd w:id="31"/>
    <w:bookmarkStart w:id="32" w:name="energy-inputs-manufacturing-phase"/>
    <w:p>
      <w:pPr>
        <w:pStyle w:val="Heading3"/>
      </w:pPr>
      <w:r>
        <w:t xml:space="preserve">3.2. Energy Inputs (Manufacturing Phase)</w:t>
      </w:r>
    </w:p>
    <w:p>
      <w:pPr>
        <w:numPr>
          <w:ilvl w:val="0"/>
          <w:numId w:val="1002"/>
        </w:numPr>
        <w:pStyle w:val="Compact"/>
      </w:pPr>
      <w:r>
        <w:rPr>
          <w:bCs/>
          <w:b/>
        </w:rPr>
        <w:t xml:space="preserve">Renewable Energy Usage:</w:t>
      </w:r>
      <w:r>
        <w:t xml:space="preserve"> </w:t>
      </w:r>
      <w:r>
        <w:t xml:space="preserve">wntdeosmqw (e.g., "30%")</w:t>
      </w:r>
    </w:p>
    <w:p>
      <w:pPr>
        <w:numPr>
          <w:ilvl w:val="0"/>
          <w:numId w:val="1002"/>
        </w:numPr>
        <w:pStyle w:val="Compact"/>
      </w:pPr>
      <w:r>
        <w:rPr>
          <w:bCs/>
          <w:b/>
        </w:rPr>
        <w:t xml:space="preserve">Energy Intensity (kWh/unit):</w:t>
      </w:r>
      <w:r>
        <w:t xml:space="preserve"> </w:t>
      </w:r>
      <w:r>
        <w:t xml:space="preserve">mpunlsldel (e.g., "15 kWh/unit")</w:t>
      </w:r>
    </w:p>
    <w:bookmarkEnd w:id="32"/>
    <w:bookmarkStart w:id="33" w:name="logistics-data-supply-chain-analysis"/>
    <w:p>
      <w:pPr>
        <w:pStyle w:val="Heading3"/>
      </w:pPr>
      <w:r>
        <w:t xml:space="preserve">3.3. Logistics Data (Supply Chain Analysis)</w:t>
      </w:r>
    </w:p>
    <w:p>
      <w:pPr>
        <w:numPr>
          <w:ilvl w:val="0"/>
          <w:numId w:val="1003"/>
        </w:numPr>
        <w:pStyle w:val="Compact"/>
      </w:pPr>
      <w:r>
        <w:rPr>
          <w:bCs/>
          <w:b/>
        </w:rPr>
        <w:t xml:space="preserve">Primary Transport Mode:</w:t>
      </w:r>
      <w:r>
        <w:t xml:space="preserve"> </w:t>
      </w:r>
      <w:r>
        <w:t xml:space="preserve">Select Mode (Assumed: Road Freight - Heavy Goods Vehicle)</w:t>
      </w:r>
    </w:p>
    <w:p>
      <w:pPr>
        <w:numPr>
          <w:ilvl w:val="0"/>
          <w:numId w:val="1003"/>
        </w:numPr>
        <w:pStyle w:val="Compact"/>
      </w:pPr>
      <w:r>
        <w:rPr>
          <w:bCs/>
          <w:b/>
        </w:rPr>
        <w:t xml:space="preserve">Primary Transport Distance:</w:t>
      </w:r>
      <w:r>
        <w:t xml:space="preserve"> </w:t>
      </w:r>
      <w:r>
        <w:t xml:space="preserve">iumrqtiveu (e.g., "1500 km")</w:t>
      </w:r>
    </w:p>
    <w:p>
      <w:pPr>
        <w:numPr>
          <w:ilvl w:val="0"/>
          <w:numId w:val="1003"/>
        </w:numPr>
        <w:pStyle w:val="Compact"/>
      </w:pPr>
      <w:r>
        <w:rPr>
          <w:bCs/>
          <w:b/>
        </w:rPr>
        <w:t xml:space="preserve">Last-Mile Delivery Channel:</w:t>
      </w:r>
      <w:r>
        <w:t xml:space="preserve"> </w:t>
      </w:r>
      <w:r>
        <w:t xml:space="preserve">Delivery Type (Assumed: Light Commercial Vehicle, 50 km)</w:t>
      </w:r>
    </w:p>
    <w:bookmarkEnd w:id="33"/>
    <w:bookmarkStart w:id="34"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kyhfkeziwk (e.g., "5 years")</w:t>
      </w:r>
    </w:p>
    <w:p>
      <w:pPr>
        <w:numPr>
          <w:ilvl w:val="0"/>
          <w:numId w:val="1004"/>
        </w:numPr>
        <w:pStyle w:val="Compact"/>
      </w:pPr>
      <w:r>
        <w:rPr>
          <w:bCs/>
          <w:b/>
        </w:rPr>
        <w:t xml:space="preserve">Energy Consumption in Use:</w:t>
      </w:r>
      <w:r>
        <w:t xml:space="preserve"> </w:t>
      </w:r>
      <w:r>
        <w:t xml:space="preserve">qojqernoej (e.g., "100 kWh/year")</w:t>
      </w:r>
    </w:p>
    <w:bookmarkEnd w:id="34"/>
    <w:bookmarkStart w:id="35" w:name="end-of-life-eol-scenarios"/>
    <w:p>
      <w:pPr>
        <w:pStyle w:val="Heading3"/>
      </w:pPr>
      <w:r>
        <w:t xml:space="preserve">3.5. End-of-Life (EoL) Scenarios</w:t>
      </w:r>
    </w:p>
    <w:p>
      <w:pPr>
        <w:numPr>
          <w:ilvl w:val="0"/>
          <w:numId w:val="1005"/>
        </w:numPr>
        <w:pStyle w:val="Compact"/>
      </w:pPr>
      <w:r>
        <w:rPr>
          <w:bCs/>
          <w:b/>
        </w:rPr>
        <w:t xml:space="preserve">Recyclability Percentage:</w:t>
      </w:r>
      <w:r>
        <w:t xml:space="preserve"> </w:t>
      </w:r>
      <w:r>
        <w:t xml:space="preserve">ifpxrrrtep (e.g., "80%")</w:t>
      </w:r>
    </w:p>
    <w:p>
      <w:pPr>
        <w:numPr>
          <w:ilvl w:val="0"/>
          <w:numId w:val="1005"/>
        </w:numPr>
        <w:pStyle w:val="Compact"/>
      </w:pPr>
      <w:r>
        <w:rPr>
          <w:bCs/>
          <w:b/>
        </w:rPr>
        <w:t xml:space="preserve">Circular/Take-back Programs:</w:t>
      </w:r>
      <w:r>
        <w:t xml:space="preserve"> </w:t>
      </w:r>
      <w:r>
        <w:t xml:space="preserve">ginfgnyput (e.g., "Established local take-back program")</w:t>
      </w:r>
    </w:p>
    <w:p>
      <w:r>
        <w:pict>
          <v:rect style="width:0;height:1.5pt" o:hralign="center" o:hrstd="t" o:hr="t"/>
        </w:pict>
      </w:r>
    </w:p>
    <w:bookmarkEnd w:id="35"/>
    <w:bookmarkEnd w:id="36"/>
    <w:bookmarkStart w:id="45" w:name="X4eff67be3228dc1408ba045ea13b0013a3b5f0b"/>
    <w:p>
      <w:pPr>
        <w:pStyle w:val="Heading2"/>
      </w:pPr>
      <w:r>
        <w:t xml:space="preserve">4. Emissions Calculation and GHG Protocol Categorization</w:t>
      </w:r>
    </w:p>
    <w:p>
      <w:pPr>
        <w:pStyle w:val="FirstParagraph"/>
      </w:pPr>
      <w:r>
        <w:t xml:space="preserve">Emissions are calculated based on activity data multiplied by appropriate emission factors. All results are expressed in kilograms of carbon dioxide equivalent (kg CO2e) per functional unit (1.0 unit of luxpnotzwq).</w:t>
      </w:r>
    </w:p>
    <w:bookmarkStart w:id="37" w:name="assumed-emission-factors"/>
    <w:p>
      <w:pPr>
        <w:pStyle w:val="Heading3"/>
      </w:pPr>
      <w:r>
        <w:t xml:space="preserve">4.1. Assumed Emission Factors</w:t>
      </w:r>
    </w:p>
    <w:p>
      <w:pPr>
        <w:numPr>
          <w:ilvl w:val="0"/>
          <w:numId w:val="1006"/>
        </w:numPr>
        <w:pStyle w:val="Compact"/>
      </w:pPr>
      <w:r>
        <w:t xml:space="preserve">China Grid Electricity: 0.8 kg CO2e/kWh</w:t>
      </w:r>
    </w:p>
    <w:p>
      <w:pPr>
        <w:numPr>
          <w:ilvl w:val="0"/>
          <w:numId w:val="1006"/>
        </w:numPr>
        <w:pStyle w:val="Compact"/>
      </w:pPr>
      <w:r>
        <w:t xml:space="preserve">Road Freight (Heavy Goods Vehicle, Europe average): 0.06 kg CO2e/tkm</w:t>
      </w:r>
    </w:p>
    <w:p>
      <w:pPr>
        <w:numPr>
          <w:ilvl w:val="0"/>
          <w:numId w:val="1006"/>
        </w:numPr>
        <w:pStyle w:val="Compact"/>
      </w:pPr>
      <w:r>
        <w:t xml:space="preserve">Light Commercial Vehicle (LCV, Last-Mile average): 0.15 kg CO2e/tkm (Assumption based on general freight data)</w:t>
      </w:r>
    </w:p>
    <w:p>
      <w:pPr>
        <w:numPr>
          <w:ilvl w:val="0"/>
          <w:numId w:val="1006"/>
        </w:numPr>
        <w:pStyle w:val="Compact"/>
      </w:pPr>
      <w:r>
        <w:t xml:space="preserve">Landfill (Mixed Waste): 0.25 kg CO2e/kg (Assumption based on average for mixed waste, excluding specific low values for plastics, and without energy recovery and biogenic carbon storage benefits.)</w:t>
      </w:r>
    </w:p>
    <w:p>
      <w:pPr>
        <w:numPr>
          <w:ilvl w:val="0"/>
          <w:numId w:val="1006"/>
        </w:numPr>
        <w:pStyle w:val="Compact"/>
      </w:pPr>
      <w:r>
        <w:t xml:space="preserve">Avoided Emissions from Recycling (Mixed Materials): 1.0 kg CO2e/kg (Assumption based on average of steel, plastics, glass recycling benefits)</w:t>
      </w:r>
    </w:p>
    <w:bookmarkEnd w:id="37"/>
    <w:bookmarkStart w:id="43" w:name="detailed-emissions-calculation"/>
    <w:p>
      <w:pPr>
        <w:pStyle w:val="Heading3"/>
      </w:pPr>
      <w:r>
        <w:t xml:space="preserve">4.2. Detailed Emissions Calculation</w:t>
      </w:r>
    </w:p>
    <w:bookmarkStart w:id="38" w:name="X1198c8af25dd1a2ebffa686809674f976343a37"/>
    <w:p>
      <w:pPr>
        <w:pStyle w:val="Heading4"/>
      </w:pPr>
      <w:r>
        <w:t xml:space="preserve">4.2.1. Material Acquisition &amp; Pre-processing (Scope 3 - Upstream)</w:t>
      </w:r>
    </w:p>
    <w:p>
      <w:pPr>
        <w:pStyle w:val="FirstParagraph"/>
      </w:pPr>
      <w:r>
        <w:t xml:space="preserve">Calculated by summing the "Total Carbon" values provided in the Detailed Bill of Materials (BOM).</w:t>
      </w:r>
    </w:p>
    <w:bookmarkEnd w:id="38"/>
    <w:bookmarkStart w:id="39" w:name="X6cfc1206ba972e5cc1564dd710eafc37ffb0e63"/>
    <w:p>
      <w:pPr>
        <w:pStyle w:val="Heading4"/>
      </w:pPr>
      <w:r>
        <w:t xml:space="preserve">4.2.2. Manufacturing Phase (Scope 2 &amp; Scope 3 - Upstream)</w:t>
      </w:r>
    </w:p>
    <w:bookmarkEnd w:id="39"/>
    <w:bookmarkStart w:id="40" w:name="transport-scope-3---upstream-downstream"/>
    <w:p>
      <w:pPr>
        <w:pStyle w:val="Heading4"/>
      </w:pPr>
      <w:r>
        <w:t xml:space="preserve">4.2.3. Transport (Scope 3 - Upstream &amp; Downstream)</w:t>
      </w:r>
    </w:p>
    <w:bookmarkEnd w:id="40"/>
    <w:bookmarkStart w:id="41" w:name="use-phase-scope-3---downstream"/>
    <w:p>
      <w:pPr>
        <w:pStyle w:val="Heading4"/>
      </w:pPr>
      <w:r>
        <w:t xml:space="preserve">4.2.4. Use Phase (Scope 3 - Downstream)</w:t>
      </w:r>
    </w:p>
    <w:bookmarkEnd w:id="41"/>
    <w:bookmarkStart w:id="42" w:name="X2449e76f36fce2c9fec3c701a472f020b80894d"/>
    <w:p>
      <w:pPr>
        <w:pStyle w:val="Heading4"/>
      </w:pPr>
      <w:r>
        <w:t xml:space="preserve">4.2.5. End-of-Life (EoL) Scenarios (Scope 3 - Downstream)</w:t>
      </w:r>
    </w:p>
    <w:bookmarkEnd w:id="42"/>
    <w:bookmarkEnd w:id="43"/>
    <w:bookmarkStart w:id="44" w:name="total-product-carbon-footprint-pcf"/>
    <w:p>
      <w:pPr>
        <w:pStyle w:val="Heading3"/>
      </w:pPr>
      <w:r>
        <w:t xml:space="preserve">4.3. Total Product Carbon Footprint (PCF)</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identification"/>
    <w:p>
      <w:pPr>
        <w:pStyle w:val="Heading3"/>
      </w:pPr>
      <w:r>
        <w:t xml:space="preserve">5.1. Hotspot Identification</w:t>
      </w:r>
    </w:p>
    <w:p>
      <w:pPr>
        <w:pStyle w:val="FirstParagraph"/>
      </w:pPr>
      <w:r>
        <w:t xml:space="preserve">Based on the calculations, the primary emission hotspots for luxpnotzwq are identified as follows:</w:t>
      </w:r>
    </w:p>
    <w:p>
      <w:pPr>
        <w:numPr>
          <w:ilvl w:val="0"/>
          <w:numId w:val="1007"/>
        </w:numPr>
        <w:pStyle w:val="Compact"/>
      </w:pPr>
      <w:r>
        <w:rPr>
          <w:bCs/>
          <w:b/>
        </w:rPr>
        <w:t xml:space="preserve">" . $source . ":</w:t>
      </w:r>
      <w:r>
        <w:t xml:space="preserve"> </w:t>
      </w:r>
      <w:r>
        <w:t xml:space="preserve">" . number_format($emissions, 2) . " kg CO2e (approx. " . number_format(($emissions / $total_pcf) * 100, 1) . "%)</w:t>
      </w:r>
    </w:p>
    <w:p>
      <w:pPr>
        <w:pStyle w:val="FirstParagraph"/>
      </w:pPr>
      <w:r>
        <w:t xml:space="preserve">This breakdown highlights where intervention efforts would yield the most significant reductions in the product\'s overall carbon footprint. For luxpnotzwq, is the largest contributor, suggesting that efforts should primarily focus on this area.</w:t>
      </w:r>
    </w:p>
    <w:bookmarkEnd w:id="46"/>
    <w:bookmarkStart w:id="47" w:name="scope-3-compliance-and-lsr-update"/>
    <w:p>
      <w:pPr>
        <w:pStyle w:val="Heading3"/>
      </w:pPr>
      <w:r>
        <w:t xml:space="preserve">5.2. Scope 3 Compliance and LSR Update</w:t>
      </w:r>
    </w:p>
    <w:p>
      <w:pPr>
        <w:pStyle w:val="FirstParagraph"/>
      </w:pPr>
      <w:r>
        <w:t xml:space="preserve">This analysis has aimed for comprehensive Scope 3 coverage, encompassing material acquisition, manufacturing-related upstream emissions, transport, use phase, and end-of-life, with a target of at least 95% coverage as per 2026 requirements. The 2026 Land Sector and Removals (LSR) Standard has been acknowledged. While specific land-use changes were not explicitly provided in the input parameters for luxpnotzwq\'s supply chain, future iterations of this analysis should integrate primary data for land-use impacts and potential carbon removals, if applicable, to fully align with the LSR Standard.</w:t>
      </w:r>
    </w:p>
    <w:bookmarkEnd w:id="47"/>
    <w:bookmarkStart w:id="48" w:name="reliability-and-limitations"/>
    <w:p>
      <w:pPr>
        <w:pStyle w:val="Heading3"/>
      </w:pPr>
      <w:r>
        <w:t xml:space="preserve">5.3. Reliability and Limitations</w:t>
      </w:r>
    </w:p>
    <w:p>
      <w:pPr>
        <w:pStyle w:val="FirstParagraph"/>
      </w:pPr>
      <w:r>
        <w:t xml:space="preserve">The calculations presented in this report are based on the specific parameters provided by nqwsiwwjse and industry-average emission factors from reputable sources (e.g., IEA, EPA, McKinnon guidelines, general freight data) when primary data was unavailable. While efforts have been made to ensure accuracy and adherence to the GHG Protocol, certain assumptions were necessary for generalized emission factors, especially for transport modes ("Select Mode", "Delivery Type") and end-of-life scenarios, which can introduce a degree of uncertainty. For higher precision, product-specific primary data for all supply chain stages and regionalized emission factors would be beneficial.</w:t>
      </w:r>
    </w:p>
    <w:bookmarkEnd w:id="48"/>
    <w:bookmarkEnd w:id="49"/>
    <w:p>
      <w:r>
        <w:pict>
          <v:rect style="width:0;height:1.5pt" o:hralign="center" o:hrstd="t" o:hr="t"/>
        </w:pict>
      </w:r>
    </w:p>
    <w:p>
      <w:pPr>
        <w:pStyle w:val="FirstParagraph"/>
      </w:pPr>
      <w:r>
        <w:t xml:space="preserve">Confidential - Internal Use Only</w:t>
      </w:r>
    </w:p>
    <w:p>
      <w:pPr>
        <w:pStyle w:val="BodyText"/>
      </w:pPr>
      <w:r>
        <w:t xml:space="preserve">Page 1 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luxpnotzwq</dc:title>
  <dc:creator/>
  <dc:description>Detailed Product Carbon Footprint (PCF) analysis report for luxpnotzwq, performed by psxoijqxxl, Senior Sustainability Consultant, adhering to GHG Protocol and 2026 LSR Update requirements.</dc:description>
  <dc:language>en</dc:language>
  <cp:keywords/>
  <dcterms:created xsi:type="dcterms:W3CDTF">2026-07-15T09:15:15Z</dcterms:created>
  <dcterms:modified xsi:type="dcterms:W3CDTF">2026-07-15T09:15:15Z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