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lujvsfwvir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lujvsfwvir</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qsegumtfqi</w:t>
      </w:r>
    </w:p>
    <w:p>
      <w:pPr>
        <w:pStyle w:val="BodyText"/>
      </w:pPr>
      <w:r>
        <w:rPr>
          <w:bCs/>
          <w:b/>
        </w:rPr>
        <w:t xml:space="preserve">Senior Sustainability Consultant:</w:t>
      </w:r>
      <w:r>
        <w:t xml:space="preserve"> </w:t>
      </w:r>
      <w:r>
        <w:t xml:space="preserve">igdekuphyi</w:t>
      </w:r>
    </w:p>
    <w:p>
      <w:pPr>
        <w:pStyle w:val="BodyText"/>
      </w:pPr>
      <w:r>
        <w:t xml:space="preserve">This report is generated based on available data and industry standards, incorporating illustrative values where specific quantitative data for placeholders was not provided. The calculations reflect best-effort estimates based on the defined parameters and a robust methodological framework.</w:t>
      </w:r>
    </w:p>
    <w:bookmarkEnd w:id="20"/>
    <w:bookmarkStart w:id="43" w:name="X743a9419ad96fb96c8341fcc447f59174acf9d6"/>
    <w:p>
      <w:pPr>
        <w:pStyle w:val="Heading1"/>
      </w:pPr>
      <w:r>
        <w:t xml:space="preserve">Product Carbon Footprint Analysis Report: lujvsfwvir</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"lujvsfwvir", conducted for "qsegumtfqi" by Senior Sustainability Consultant "igdekuphyi". The analysis strictly adheres to the Greenhouse Gas (GHG) Protocol, including the latest 2026 updates, ensuring comprehensive coverage of Scope 1, Scope 2, and Scope 3 emissions. The functional unit for this study is 1.0 unit of "lujvsfwvir", with a system boundary set at \'factory_gate\' for initial production emissions and extending through the full product lifecycle for Scope 3. The geographic scope focuses on final production in China with a supply chain focus on Europe.</w:t>
      </w:r>
    </w:p>
    <w:p>
      <w:pPr>
        <w:pStyle w:val="BodyText"/>
      </w:pPr>
      <w:r>
        <w:t xml:space="preserve">The assessment incorporates a detailed Bill of Materials (BOM), specific transport logistics, customized energy usage for the production phase, product lifespan, energy consumption during use, and end-of-life scenarios including recyclability and circular programs. This allows for the identification of key carbon hotspots across the product\'s lifecycle, providing actionable insights for emission reduction strategies.</w:t>
      </w:r>
    </w:p>
    <w:p>
      <w:pPr>
        <w:pStyle w:val="BodyText"/>
      </w:pPr>
      <w:r>
        <w:rPr>
          <w:iCs/>
          <w:i/>
        </w:rPr>
        <w:t xml:space="preserve">Note: Due to the placeholder nature of some input parameters (e.g., BOM details, transport specifics, energy data, etc.), illustrative data based on industry averages and best practices have been utilized for calculation purposes. Actual figures would require precise primary data collection for each parameter.</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foundational step in this Product Carbon Footprint analysis involves clearly defining the parameters that frame the study:</w:t>
      </w:r>
    </w:p>
    <w:p>
      <w:pPr>
        <w:numPr>
          <w:ilvl w:val="0"/>
          <w:numId w:val="1001"/>
        </w:numPr>
        <w:pStyle w:val="Compact"/>
      </w:pPr>
      <w:r>
        <w:rPr>
          <w:bCs/>
          <w:b/>
        </w:rPr>
        <w:t xml:space="preserve">Functional Unit:</w:t>
      </w:r>
      <w:r>
        <w:t xml:space="preserve"> </w:t>
      </w:r>
      <w:r>
        <w:t xml:space="preserve">1.0 unit of "lujvsfwvir". This represents the quantified performance of the product, serving as the reference unit to which all inputs and outputs are related.</w:t>
      </w:r>
    </w:p>
    <w:p>
      <w:pPr>
        <w:numPr>
          <w:ilvl w:val="0"/>
          <w:numId w:val="1001"/>
        </w:numPr>
        <w:pStyle w:val="Compact"/>
      </w:pPr>
      <w:r>
        <w:rPr>
          <w:bCs/>
          <w:b/>
        </w:rPr>
        <w:t xml:space="preserve">System Boundary:</w:t>
      </w:r>
      <w:r>
        <w:t xml:space="preserve"> </w:t>
      </w:r>
      <w:r>
        <w:t xml:space="preserve">factory_gate for initial production, extending to cradle-to-grave for all relevant Scope 3 emissions. This includes raw material extraction, manufacturing, transportation, use phase, and end-of-life treatment.</w:t>
      </w:r>
    </w:p>
    <w:p>
      <w:pPr>
        <w:numPr>
          <w:ilvl w:val="0"/>
          <w:numId w:val="1001"/>
        </w:numPr>
        <w:pStyle w:val="Compact"/>
      </w:pPr>
      <w:r>
        <w:rPr>
          <w:bCs/>
          <w:b/>
        </w:rPr>
        <w:t xml:space="preserve">Geographic Scope:</w:t>
      </w:r>
      <w:r>
        <w:t xml:space="preserve"> </w:t>
      </w:r>
      <w:r>
        <w:t xml:space="preserve">Final Production Country: China, with a Supply Chain Focus on Europe for material sourcing and distribution.</w:t>
      </w:r>
    </w:p>
    <w:p>
      <w:pPr>
        <w:numPr>
          <w:ilvl w:val="0"/>
          <w:numId w:val="1001"/>
        </w:numPr>
        <w:pStyle w:val="Compact"/>
      </w:pPr>
      <w:r>
        <w:rPr>
          <w:bCs/>
          <w:b/>
        </w:rPr>
        <w:t xml:space="preserve">Accounting Standard:</w:t>
      </w:r>
      <w:r>
        <w:t xml:space="preserve"> </w:t>
      </w:r>
      <w:r>
        <w:t xml:space="preserve">GHG Protocol (Corporate Value Chain (Scope 3) Accounting and Reporting Standard), supplemented by the 2026 Land Sector and Removals (LSR) Standard update.</w:t>
      </w:r>
    </w:p>
    <w:p>
      <w:pPr>
        <w:numPr>
          <w:ilvl w:val="0"/>
          <w:numId w:val="1001"/>
        </w:numPr>
        <w:pStyle w:val="Compact"/>
      </w:pPr>
      <w:r>
        <w:rPr>
          <w:bCs/>
          <w:b/>
        </w:rPr>
        <w:t xml:space="preserve">Allocation:</w:t>
      </w:r>
      <w:r>
        <w:t xml:space="preserve"> </w:t>
      </w:r>
      <w:r>
        <w:t xml:space="preserve">Emissions are allocated directly to the functional unit. For multi-product processes, physical allocation (e.g., by mass or economic value) would be applied where appropriate, although direct allocation is assumed for the primary product in this analysis.</w:t>
      </w:r>
    </w:p>
    <w:p>
      <w:r>
        <w:pict>
          <v:rect style="width:0;height:1.5pt" o:hralign="center" o:hrstd="t" o:hr="t"/>
        </w:pict>
      </w:r>
    </w:p>
    <w:bookmarkEnd w:id="22"/>
    <w:bookmarkStart w:id="28" w:name="map-lifecycle-3.-collect-data"/>
    <w:p>
      <w:pPr>
        <w:pStyle w:val="Heading2"/>
      </w:pPr>
      <w:r>
        <w:t xml:space="preserve">2. Map Lifecycle &amp; 3. Collect Data</w:t>
      </w:r>
    </w:p>
    <w:p>
      <w:pPr>
        <w:pStyle w:val="FirstParagraph"/>
      </w:pPr>
      <w:r>
        <w:t xml:space="preserve">The lifecycle of "lujvsfwvir" has been mapped into distinct stages, and data has been collected (or illustratively assumed) for each stage to build the Life Cycle Inventory (LCI).</w:t>
      </w:r>
    </w:p>
    <w:bookmarkStart w:id="23" w:name="X982c326fb93613d4d5b2ea0769a7e370cfc78fa"/>
    <w:p>
      <w:pPr>
        <w:pStyle w:val="Heading3"/>
      </w:pPr>
      <w:r>
        <w:t xml:space="preserve">Detailed Bill of Materials (BOM) &amp; Material Inputs</w:t>
      </w:r>
    </w:p>
    <w:p>
      <w:pPr>
        <w:pStyle w:val="FirstParagraph"/>
      </w:pPr>
      <w:r>
        <w:t xml:space="preserve">The detailed Bill of Materials (BOM) provides a high-accuracy basis for material impact calculations. For illustrative purposes, the following BOM data (derived from the provided format `pupgrsdp`) is used. Emission factors are based on industry standards, such as those found in Ecoinvent databases.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(kgCO2e/unit)</w:t>
            </w:r>
          </w:p>
        </w:tc>
        <w:tc>
          <w:tcPr/>
          <w:p>
            <w:pPr>
              <w:pStyle w:val="Compact"/>
              <w:jc w:val="left"/>
            </w:pPr>
            <w:r>
              <w:t xml:space="preserve">Illustrative 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2</w:t>
            </w:r>
          </w:p>
        </w:tc>
        <w:tc>
          <w:tcPr/>
          <w:p>
            <w:pPr>
              <w:pStyle w:val="Compact"/>
              <w:jc w:val="left"/>
            </w:pPr>
            <w:r>
              <w:t xml:space="preserve">Metal Components</w:t>
            </w:r>
          </w:p>
        </w:tc>
        <w:tc>
          <w:tcPr/>
          <w:p>
            <w:pPr>
              <w:pStyle w:val="Compact"/>
              <w:jc w:val="left"/>
            </w:pPr>
            <w:r>
              <w:t xml:space="preserve">Metal</w:t>
            </w:r>
          </w:p>
        </w:tc>
        <w:tc>
          <w:tcPr/>
          <w:p>
            <w:pPr>
              <w:pStyle w:val="Compact"/>
              <w:jc w:val="left"/>
            </w:pPr>
            <w:r>
              <w:t xml:space="preserve">Casting &amp; Machining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Internal Wiring</w:t>
            </w:r>
          </w:p>
        </w:tc>
        <w:tc>
          <w:tcPr/>
          <w:p>
            <w:pPr>
              <w:pStyle w:val="Compact"/>
              <w:jc w:val="left"/>
            </w:pPr>
            <w:r>
              <w:t xml:space="preserve">Metal/Polymer</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6.0</w:t>
            </w:r>
          </w:p>
        </w:tc>
        <w:tc>
          <w:tcPr/>
          <w:p>
            <w:pPr>
              <w:pStyle w:val="Compact"/>
              <w:jc w:val="left"/>
            </w:pPr>
            <w:r>
              <w:t xml:space="preserve">0.30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Paper/Fiber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0.20</w:t>
            </w:r>
          </w:p>
        </w:tc>
      </w:tr>
      <w:tr>
        <w:tc>
          <w:tcPr>
            <w:gridSpan w:val="7"/>
          </w:tcPr>
          <w:p>
            <w:pPr>
              <w:pStyle w:val="Compact"/>
              <w:jc w:val="right"/>
            </w:pPr>
            <w:r>
              <w:rPr>
                <w:bCs/>
                <w:b/>
              </w:rPr>
              <w:t xml:space="preserve">Total Illustrative Material Carbon Footprint:</w:t>
            </w:r>
          </w:p>
        </w:tc>
        <w:tc>
          <w:tcPr/>
          <w:p>
            <w:pPr>
              <w:pStyle w:val="Compact"/>
              <w:jc w:val="left"/>
            </w:pPr>
            <w:r>
              <w:rPr>
                <w:bCs/>
                <w:b/>
              </w:rPr>
              <w:t xml:space="preserve">5.35 kgCO2e</w:t>
            </w:r>
          </w:p>
        </w:tc>
      </w:tr>
    </w:tbl>
    <w:bookmarkEnd w:id="23"/>
    <w:bookmarkStart w:id="24" w:name="energy-inputs-production-phase"/>
    <w:p>
      <w:pPr>
        <w:pStyle w:val="Heading3"/>
      </w:pPr>
      <w:r>
        <w:t xml:space="preserve">Energy Inputs (Production Phase)</w:t>
      </w:r>
    </w:p>
    <w:p>
      <w:pPr>
        <w:pStyle w:val="FirstParagraph"/>
      </w:pPr>
      <w:r>
        <w:t xml:space="preserve">Energy consumption for the production of "lujvsfwvir" at the final production country (China) is a significant factor. The following illustrative data (based on `ideunfvqlk` and `otzgqiviqy`) is used:</w:t>
      </w:r>
    </w:p>
    <w:p>
      <w:pPr>
        <w:numPr>
          <w:ilvl w:val="0"/>
          <w:numId w:val="1002"/>
        </w:numPr>
        <w:pStyle w:val="Compact"/>
      </w:pPr>
      <w:r>
        <w:rPr>
          <w:bCs/>
          <w:b/>
        </w:rPr>
        <w:t xml:space="preserve">Energy Intensity (kWh/unit):</w:t>
      </w:r>
      <w:r>
        <w:t xml:space="preserve"> </w:t>
      </w:r>
      <w:r>
        <w:t xml:space="preserve">15 kWh/unit</w:t>
      </w:r>
    </w:p>
    <w:p>
      <w:pPr>
        <w:numPr>
          <w:ilvl w:val="0"/>
          <w:numId w:val="1002"/>
        </w:numPr>
        <w:pStyle w:val="Compact"/>
      </w:pPr>
      <w:r>
        <w:rPr>
          <w:bCs/>
          <w:b/>
        </w:rPr>
        <w:t xml:space="preserve">Renewable Energy Usage:</w:t>
      </w:r>
      <w:r>
        <w:t xml:space="preserve"> </w:t>
      </w:r>
      <w:r>
        <w:t xml:space="preserve">60%</w:t>
      </w:r>
    </w:p>
    <w:p>
      <w:pPr>
        <w:numPr>
          <w:ilvl w:val="0"/>
          <w:numId w:val="1002"/>
        </w:numPr>
        <w:pStyle w:val="Compact"/>
      </w:pPr>
      <w:r>
        <w:rPr>
          <w:bCs/>
          <w:b/>
        </w:rPr>
        <w:t xml:space="preserve">Non-renewable energy share:</w:t>
      </w:r>
      <w:r>
        <w:t xml:space="preserve"> </w:t>
      </w:r>
      <w:r>
        <w:t xml:space="preserve">40% (1 - 0.60)</w:t>
      </w:r>
    </w:p>
    <w:p>
      <w:pPr>
        <w:numPr>
          <w:ilvl w:val="0"/>
          <w:numId w:val="1002"/>
        </w:numPr>
        <w:pStyle w:val="Compact"/>
      </w:pPr>
      <w:r>
        <w:rPr>
          <w:bCs/>
          <w:b/>
        </w:rPr>
        <w:t xml:space="preserve">Illustrative China Grid Emission Factor:</w:t>
      </w:r>
      <w:r>
        <w:t xml:space="preserve"> </w:t>
      </w:r>
      <w:r>
        <w:t xml:space="preserve">0.6 kgCO2e/kWh (based on recent figures for China\'s national average electricity grid, from sources like IEA and MEE, varying between 0.55-0.62 kgCO2/kWh).</w:t>
      </w:r>
    </w:p>
    <w:bookmarkEnd w:id="24"/>
    <w:bookmarkStart w:id="25" w:name="transport-logistics-data"/>
    <w:p>
      <w:pPr>
        <w:pStyle w:val="Heading3"/>
      </w:pPr>
      <w:r>
        <w:t xml:space="preserve">Transport Logistics Data</w:t>
      </w:r>
    </w:p>
    <w:p>
      <w:pPr>
        <w:pStyle w:val="FirstParagraph"/>
      </w:pPr>
      <w:r>
        <w:t xml:space="preserve">Logistics are crucial for Scope 3 emissions. The following illustrative data (based on `Select Mode`, `kktzixlgug`, `Delivery Type`) has been incorporated:</w:t>
      </w:r>
    </w:p>
    <w:p>
      <w:pPr>
        <w:numPr>
          <w:ilvl w:val="0"/>
          <w:numId w:val="1003"/>
        </w:numPr>
        <w:pStyle w:val="Compact"/>
      </w:pPr>
      <w:r>
        <w:rPr>
          <w:bCs/>
          <w:b/>
        </w:rPr>
        <w:t xml:space="preserve">Inbound Logistics (Materials):</w:t>
      </w:r>
      <w:r>
        <w:t xml:space="preserve"> </w:t>
      </w:r>
      <w:r>
        <w:t xml:space="preserve">Road Freight (Heavy Truck), distance 2000 km (e.g., from European suppliers to China).</w:t>
      </w:r>
    </w:p>
    <w:p>
      <w:pPr>
        <w:numPr>
          <w:ilvl w:val="0"/>
          <w:numId w:val="1003"/>
        </w:numPr>
        <w:pStyle w:val="Compact"/>
      </w:pPr>
      <w:r>
        <w:rPr>
          <w:bCs/>
          <w:b/>
        </w:rPr>
        <w:t xml:space="preserve">Outbound Logistics (Finished Product):</w:t>
      </w:r>
      <w:r>
        <w:t xml:space="preserve"> </w:t>
      </w:r>
      <w:r>
        <w:t xml:space="preserve">Road Freight (Heavy Truck), distance 500 km (e.g., within China or initial distribution segment).</w:t>
      </w:r>
    </w:p>
    <w:p>
      <w:pPr>
        <w:numPr>
          <w:ilvl w:val="0"/>
          <w:numId w:val="1003"/>
        </w:numPr>
        <w:pStyle w:val="Compact"/>
      </w:pPr>
      <w:r>
        <w:rPr>
          <w:bCs/>
          <w:b/>
        </w:rPr>
        <w:t xml:space="preserve">Last-Mile Delivery Channel:</w:t>
      </w:r>
      <w:r>
        <w:t xml:space="preserve"> </w:t>
      </w:r>
      <w:r>
        <w:t xml:space="preserve">Parcel Delivery Van, assumed average distance of 50 km per unit.</w:t>
      </w:r>
    </w:p>
    <w:p>
      <w:pPr>
        <w:numPr>
          <w:ilvl w:val="0"/>
          <w:numId w:val="1003"/>
        </w:numPr>
        <w:pStyle w:val="Compact"/>
      </w:pPr>
      <w:r>
        <w:rPr>
          <w:bCs/>
          <w:b/>
        </w:rPr>
        <w:t xml:space="preserve">Illustrative Emission Factors (from sources like DEFRA):</w:t>
      </w:r>
    </w:p>
    <w:p>
      <w:pPr>
        <w:numPr>
          <w:ilvl w:val="1"/>
          <w:numId w:val="1004"/>
        </w:numPr>
        <w:pStyle w:val="Compact"/>
      </w:pPr>
      <w:r>
        <w:t xml:space="preserve">Heavy Truck: 0.1 kgCO2e/tonne-km</w:t>
      </w:r>
    </w:p>
    <w:p>
      <w:pPr>
        <w:numPr>
          <w:ilvl w:val="1"/>
          <w:numId w:val="1004"/>
        </w:numPr>
        <w:pStyle w:val="Compact"/>
      </w:pPr>
      <w:r>
        <w:t xml:space="preserve">Parcel Delivery Van: 0.5 kgCO2e/parcel (illustrative, highly variable)</w:t>
      </w:r>
    </w:p>
    <w:bookmarkEnd w:id="25"/>
    <w:bookmarkStart w:id="26" w:name="use-phase-data"/>
    <w:p>
      <w:pPr>
        <w:pStyle w:val="Heading3"/>
      </w:pPr>
      <w:r>
        <w:t xml:space="preserve">Use Phase Data</w:t>
      </w:r>
    </w:p>
    <w:p>
      <w:pPr>
        <w:pStyle w:val="FirstParagraph"/>
      </w:pPr>
      <w:r>
        <w:t xml:space="preserve">The use phase can significantly contribute to a product\'s footprint. The following illustrative data (based on `ufpmmmflyy` and `imkkukwvpw`) is used:</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 (Annual):</w:t>
      </w:r>
      <w:r>
        <w:t xml:space="preserve"> </w:t>
      </w:r>
      <w:r>
        <w:t xml:space="preserve">5 kWh/year</w:t>
      </w:r>
    </w:p>
    <w:p>
      <w:pPr>
        <w:numPr>
          <w:ilvl w:val="0"/>
          <w:numId w:val="1005"/>
        </w:numPr>
        <w:pStyle w:val="Compact"/>
      </w:pPr>
      <w:r>
        <w:rPr>
          <w:bCs/>
          <w:b/>
        </w:rPr>
        <w:t xml:space="preserve">Total Energy Consumption over Lifespan:</w:t>
      </w:r>
      <w:r>
        <w:t xml:space="preserve"> </w:t>
      </w:r>
      <w:r>
        <w:t xml:space="preserve">25 kWh (5 kWh/year * 5 years)</w:t>
      </w:r>
    </w:p>
    <w:p>
      <w:pPr>
        <w:numPr>
          <w:ilvl w:val="0"/>
          <w:numId w:val="1005"/>
        </w:numPr>
        <w:pStyle w:val="Compact"/>
      </w:pPr>
      <w:r>
        <w:rPr>
          <w:bCs/>
          <w:b/>
        </w:rPr>
        <w:t xml:space="preserve">Illustrative Average Grid Emission Factor for User Location:</w:t>
      </w:r>
      <w:r>
        <w:t xml:space="preserve"> </w:t>
      </w:r>
      <w:r>
        <w:t xml:space="preserve">0.4 kgCO2e/kWh (global average assumed, as user location is not specified, differing from China\'s production grid factor).</w:t>
      </w:r>
    </w:p>
    <w:bookmarkEnd w:id="26"/>
    <w:bookmarkStart w:id="27" w:name="end-of-life-eol-scenarios"/>
    <w:p>
      <w:pPr>
        <w:pStyle w:val="Heading3"/>
      </w:pPr>
      <w:r>
        <w:t xml:space="preserve">End-of-Life (EoL) Scenarios</w:t>
      </w:r>
    </w:p>
    <w:p>
      <w:pPr>
        <w:pStyle w:val="FirstParagraph"/>
      </w:pPr>
      <w:r>
        <w:t xml:space="preserve">Circular economy impacts are assessed with the following illustrative data (based on `elxugeyids` and `iwikvdvems`):</w:t>
      </w:r>
    </w:p>
    <w:p>
      <w:pPr>
        <w:numPr>
          <w:ilvl w:val="0"/>
          <w:numId w:val="1006"/>
        </w:numPr>
        <w:pStyle w:val="Compact"/>
      </w:pPr>
      <w:r>
        <w:rPr>
          <w:bCs/>
          <w:b/>
        </w:rPr>
        <w:t xml:space="preserve">Recyclability Percentage:</w:t>
      </w:r>
      <w:r>
        <w:t xml:space="preserve"> </w:t>
      </w:r>
      <w:r>
        <w:t xml:space="preserve">70%</w:t>
      </w:r>
    </w:p>
    <w:p>
      <w:pPr>
        <w:numPr>
          <w:ilvl w:val="0"/>
          <w:numId w:val="1006"/>
        </w:numPr>
        <w:pStyle w:val="Compact"/>
      </w:pPr>
      <w:r>
        <w:rPr>
          <w:bCs/>
          <w:b/>
        </w:rPr>
        <w:t xml:space="preserve">Circular/Take-back Programs:</w:t>
      </w:r>
      <w:r>
        <w:t xml:space="preserve"> </w:t>
      </w:r>
      <w:r>
        <w:t xml:space="preserve">Yes, a robust program is assumed to be in place.</w:t>
      </w:r>
    </w:p>
    <w:p>
      <w:pPr>
        <w:numPr>
          <w:ilvl w:val="0"/>
          <w:numId w:val="1006"/>
        </w:numPr>
        <w:pStyle w:val="Compact"/>
      </w:pPr>
      <w:r>
        <w:rPr>
          <w:bCs/>
          <w:b/>
        </w:rPr>
        <w:t xml:space="preserve">Illustrative EoL Disposal Emission Factor:</w:t>
      </w:r>
      <w:r>
        <w:t xml:space="preserve"> </w:t>
      </w:r>
      <w:r>
        <w:t xml:space="preserve">1.0 kgCO2e/kg (for non-recycled waste, acknowledging that recycling itself has emissions but avoids virgin material production).</w:t>
      </w:r>
    </w:p>
    <w:p>
      <w:r>
        <w:pict>
          <v:rect style="width:0;height:1.5pt" o:hralign="center" o:hrstd="t" o:hr="t"/>
        </w:pict>
      </w:r>
    </w:p>
    <w:bookmarkEnd w:id="27"/>
    <w:bookmarkEnd w:id="28"/>
    <w:bookmarkStart w:id="39" w:name="calculate-emissions"/>
    <w:p>
      <w:pPr>
        <w:pStyle w:val="Heading2"/>
      </w:pPr>
      <w:r>
        <w:t xml:space="preserve">4. Calculate Emissions</w:t>
      </w:r>
    </w:p>
    <w:p>
      <w:pPr>
        <w:pStyle w:val="FirstParagraph"/>
      </w:pPr>
      <w:r>
        <w:t xml:space="preserve">Emissions are calculated based on the activity data and appropriate emission factors, categorized according to the GHG Protocol\'s Scope 1, Scope 2, and Scope 3 framework.</w:t>
      </w:r>
    </w:p>
    <w:bookmarkStart w:id="29" w:name="ghg-protocol-2026-updates-compliance"/>
    <w:p>
      <w:pPr>
        <w:pStyle w:val="Heading3"/>
      </w:pPr>
      <w:r>
        <w:t xml:space="preserve">GHG Protocol 2026 Updates &amp; Compliance</w:t>
      </w:r>
    </w:p>
    <w:p>
      <w:pPr>
        <w:pStyle w:val="FirstParagraph"/>
      </w:pPr>
      <w:r>
        <w:t xml:space="preserve">This analysis adheres to the proposed 2026 revisions of the GHG Protocol Scope 3 Standard. Key aspects include:</w:t>
      </w:r>
    </w:p>
    <w:p>
      <w:pPr>
        <w:numPr>
          <w:ilvl w:val="0"/>
          <w:numId w:val="1007"/>
        </w:numPr>
        <w:pStyle w:val="Compact"/>
      </w:pPr>
      <w:r>
        <w:rPr>
          <w:bCs/>
          <w:b/>
        </w:rPr>
        <w:t xml:space="preserve">95% Completeness Rule:</w:t>
      </w:r>
      <w:r>
        <w:t xml:space="preserve"> </w:t>
      </w:r>
      <w:r>
        <w:t xml:space="preserve">We aim to account for at least 95% of total relevant Scope 3 emissions to claim conformance, ensuring all major sources are quantified and justified exclusions are minimized.</w:t>
      </w:r>
    </w:p>
    <w:p>
      <w:pPr>
        <w:numPr>
          <w:ilvl w:val="0"/>
          <w:numId w:val="1007"/>
        </w:numPr>
        <w:pStyle w:val="Compact"/>
      </w:pPr>
      <w:r>
        <w:rPr>
          <w:bCs/>
          <w:b/>
        </w:rPr>
        <w:t xml:space="preserve">Mandatory Data Disaggregation:</w:t>
      </w:r>
      <w:r>
        <w:t xml:space="preserve"> </w:t>
      </w:r>
      <w:r>
        <w:t xml:space="preserve">Future reporting will require disaggregation of data by source type (primary vs. secondary). This report outlines where primary data would be critical.</w:t>
      </w:r>
    </w:p>
    <w:p>
      <w:pPr>
        <w:numPr>
          <w:ilvl w:val="0"/>
          <w:numId w:val="1007"/>
        </w:numPr>
        <w:pStyle w:val="Compact"/>
      </w:pPr>
      <w:r>
        <w:rPr>
          <w:bCs/>
          <w:b/>
        </w:rPr>
        <w:t xml:space="preserve">Category 16:</w:t>
      </w:r>
      <w:r>
        <w:t xml:space="preserve"> </w:t>
      </w:r>
      <w:r>
        <w:t xml:space="preserve">A new category for "other value chain activities" will be considered for relevance where applicable, though it\'s typically for facilitated emissions not covered in other categories.</w:t>
      </w:r>
    </w:p>
    <w:bookmarkEnd w:id="29"/>
    <w:bookmarkStart w:id="30" w:name="lsr-update"/>
    <w:p>
      <w:pPr>
        <w:pStyle w:val="Heading3"/>
      </w:pPr>
      <w:r>
        <w:t xml:space="preserve">2026 LSR Update</w:t>
      </w:r>
    </w:p>
    <w:p>
      <w:pPr>
        <w:pStyle w:val="FirstParagraph"/>
      </w:pPr>
      <w:r>
        <w:t xml:space="preserve">The Land Sector and Removals (LSR) Standard, published in January 2026 and effective January 1, 2027, has been considered. While specific land-use data for product inputs (like agricultural feedstocks) were not provided, its principles are acknowledged. The LSR Standard provides accounting for emissions from agricultural production and land use change, and for CO2 removals. It\'s important to note that forest carbon accounting is not included in the current version of the LSR Standard but will be addressed in future updates.</w:t>
      </w:r>
    </w:p>
    <w:bookmarkEnd w:id="30"/>
    <w:bookmarkStart w:id="36" w:name="X8f9a7ec35c0b168f50cfdcacf651a75fd5c0a6a"/>
    <w:p>
      <w:pPr>
        <w:pStyle w:val="Heading3"/>
      </w:pPr>
      <w:r>
        <w:t xml:space="preserve">Emission Calculation Breakdown (Illustrative)</w:t>
      </w:r>
    </w:p>
    <w:bookmarkStart w:id="31" w:name="X4a0967fde2e57d68680411754f837a570478ba8"/>
    <w:p>
      <w:pPr>
        <w:pStyle w:val="Heading4"/>
      </w:pPr>
      <w:r>
        <w:t xml:space="preserve">Scope 1: Direct Emissions (Operational Control)</w:t>
      </w:r>
    </w:p>
    <w:p>
      <w:pPr>
        <w:numPr>
          <w:ilvl w:val="0"/>
          <w:numId w:val="1008"/>
        </w:numPr>
        <w:pStyle w:val="Compact"/>
      </w:pPr>
      <w:r>
        <w:t xml:space="preserve">Direct emissions from owned or controlled sources (e.g., process heating, fugitive emissions).</w:t>
      </w:r>
    </w:p>
    <w:p>
      <w:pPr>
        <w:numPr>
          <w:ilvl w:val="0"/>
          <w:numId w:val="1008"/>
        </w:numPr>
        <w:pStyle w:val="Compact"/>
      </w:pPr>
      <w:r>
        <w:rPr>
          <w:bCs/>
          <w:b/>
        </w:rPr>
        <w:t xml:space="preserve">Illustrative Emission:</w:t>
      </w:r>
      <w:r>
        <w:t xml:space="preserve"> </w:t>
      </w:r>
      <w:r>
        <w:t xml:space="preserve">0.1 kgCO2e/unit (assumed for minor process emissions at factory).</w:t>
      </w:r>
    </w:p>
    <w:bookmarkEnd w:id="31"/>
    <w:bookmarkStart w:id="32" w:name="X3eda8f703a019337734c682b87d1921ccfcb0be"/>
    <w:p>
      <w:pPr>
        <w:pStyle w:val="Heading4"/>
      </w:pPr>
      <w:r>
        <w:t xml:space="preserve">Scope 2: Indirect Emissions (Purchased Energy)</w:t>
      </w:r>
    </w:p>
    <w:p>
      <w:pPr>
        <w:numPr>
          <w:ilvl w:val="0"/>
          <w:numId w:val="1009"/>
        </w:numPr>
        <w:pStyle w:val="Compact"/>
      </w:pPr>
      <w:r>
        <w:t xml:space="preserve">Emissions from the generation of purchased electricity consumed by the company.</w:t>
      </w:r>
    </w:p>
    <w:p>
      <w:pPr>
        <w:numPr>
          <w:ilvl w:val="0"/>
          <w:numId w:val="1009"/>
        </w:numPr>
        <w:pStyle w:val="Compact"/>
      </w:pPr>
      <w:r>
        <w:t xml:space="preserve">Total Energy for Production: 15 kWh/unit</w:t>
      </w:r>
    </w:p>
    <w:p>
      <w:pPr>
        <w:numPr>
          <w:ilvl w:val="0"/>
          <w:numId w:val="1009"/>
        </w:numPr>
        <w:pStyle w:val="Compact"/>
      </w:pPr>
      <w:r>
        <w:t xml:space="preserve">Non-renewable energy share: 40%</w:t>
      </w:r>
    </w:p>
    <w:p>
      <w:pPr>
        <w:numPr>
          <w:ilvl w:val="0"/>
          <w:numId w:val="1009"/>
        </w:numPr>
        <w:pStyle w:val="Compact"/>
      </w:pPr>
      <w:r>
        <w:t xml:space="preserve">Grid Emission Factor (China): 0.6 kgCO2e/kWh</w:t>
      </w:r>
    </w:p>
    <w:p>
      <w:pPr>
        <w:numPr>
          <w:ilvl w:val="0"/>
          <w:numId w:val="1009"/>
        </w:numPr>
        <w:pStyle w:val="Compact"/>
      </w:pPr>
      <w:r>
        <w:rPr>
          <w:bCs/>
          <w:b/>
        </w:rPr>
        <w:t xml:space="preserve">Calculation:</w:t>
      </w:r>
      <w:r>
        <w:t xml:space="preserve"> </w:t>
      </w:r>
      <w:r>
        <w:t xml:space="preserve">15 kWh/unit * 0.40 (non-renewable share) * 0.6 kgCO2e/kWh = 3.6 kgCO2e/unit</w:t>
      </w:r>
    </w:p>
    <w:bookmarkEnd w:id="32"/>
    <w:bookmarkStart w:id="35" w:name="X587318600d1abb6b2ca9944db25f8225e73de31"/>
    <w:p>
      <w:pPr>
        <w:pStyle w:val="Heading4"/>
      </w:pPr>
      <w:r>
        <w:t xml:space="preserve">Scope 3: Value Chain Emissions (Upstream &amp; Downstream)</w:t>
      </w:r>
    </w:p>
    <w:p>
      <w:pPr>
        <w:pStyle w:val="FirstParagraph"/>
      </w:pPr>
      <w:r>
        <w:t xml:space="preserve">This includes all other indirect emissions from the value chain.</w:t>
      </w:r>
    </w:p>
    <w:bookmarkStart w:id="33" w:name="a.-upstream-emissions"/>
    <w:p>
      <w:pPr>
        <w:pStyle w:val="Heading5"/>
      </w:pPr>
      <w:r>
        <w:t xml:space="preserve">a. Upstream Emissions</w:t>
      </w:r>
    </w:p>
    <w:p>
      <w:pPr>
        <w:numPr>
          <w:ilvl w:val="0"/>
          <w:numId w:val="1010"/>
        </w:numPr>
        <w:pStyle w:val="Compact"/>
      </w:pPr>
      <w:r>
        <w:rPr>
          <w:bCs/>
          <w:b/>
        </w:rPr>
        <w:t xml:space="preserve">Materials (Category 1: Purchased Goods and Services):</w:t>
      </w:r>
    </w:p>
    <w:p>
      <w:pPr>
        <w:numPr>
          <w:ilvl w:val="1"/>
          <w:numId w:val="1011"/>
        </w:numPr>
        <w:pStyle w:val="Compact"/>
      </w:pPr>
      <w:r>
        <w:t xml:space="preserve">Total Illustrative Material Carbon Footprint from BOM: 5.35 kgCO2e/unit</w:t>
      </w:r>
    </w:p>
    <w:p>
      <w:pPr>
        <w:numPr>
          <w:ilvl w:val="0"/>
          <w:numId w:val="1010"/>
        </w:numPr>
        <w:pStyle w:val="Compact"/>
      </w:pPr>
      <w:r>
        <w:rPr>
          <w:bCs/>
          <w:b/>
        </w:rPr>
        <w:t xml:space="preserve">Inbound Transport (Category 4: Upstream Transportation and Distribution):</w:t>
      </w:r>
    </w:p>
    <w:p>
      <w:pPr>
        <w:numPr>
          <w:ilvl w:val="1"/>
          <w:numId w:val="1012"/>
        </w:numPr>
        <w:pStyle w:val="Compact"/>
      </w:pPr>
      <w:r>
        <w:t xml:space="preserve">Total Material Mass: 0.5 + 0.2 + 0.1 + 0.05 + 0.1 = 0.95 kg (approx 0.00095 tonnes)</w:t>
      </w:r>
    </w:p>
    <w:p>
      <w:pPr>
        <w:numPr>
          <w:ilvl w:val="1"/>
          <w:numId w:val="1012"/>
        </w:numPr>
        <w:pStyle w:val="Compact"/>
      </w:pPr>
      <w:r>
        <w:t xml:space="preserve">Transport Distance: 2000 km</w:t>
      </w:r>
    </w:p>
    <w:p>
      <w:pPr>
        <w:numPr>
          <w:ilvl w:val="1"/>
          <w:numId w:val="1012"/>
        </w:numPr>
        <w:pStyle w:val="Compact"/>
      </w:pPr>
      <w:r>
        <w:t xml:space="preserve">Emission Factor (Heavy Truck): 0.1 kgCO2e/tonne-km</w:t>
      </w:r>
    </w:p>
    <w:p>
      <w:pPr>
        <w:numPr>
          <w:ilvl w:val="1"/>
          <w:numId w:val="1012"/>
        </w:numPr>
        <w:pStyle w:val="Compact"/>
      </w:pPr>
      <w:r>
        <w:rPr>
          <w:bCs/>
          <w:b/>
        </w:rPr>
        <w:t xml:space="preserve">Calculation:</w:t>
      </w:r>
      <w:r>
        <w:t xml:space="preserve"> </w:t>
      </w:r>
      <w:r>
        <w:t xml:space="preserve">0.00095 tonnes * 2000 km * 0.1 kgCO2e/tonne-km = 0.19 kgCO2e/unit</w:t>
      </w:r>
    </w:p>
    <w:bookmarkEnd w:id="33"/>
    <w:bookmarkStart w:id="34" w:name="b.-downstream-emissions"/>
    <w:p>
      <w:pPr>
        <w:pStyle w:val="Heading5"/>
      </w:pPr>
      <w:r>
        <w:t xml:space="preserve">b. Downstream Emissions</w:t>
      </w:r>
    </w:p>
    <w:p>
      <w:pPr>
        <w:numPr>
          <w:ilvl w:val="0"/>
          <w:numId w:val="1013"/>
        </w:numPr>
        <w:pStyle w:val="Compact"/>
      </w:pPr>
      <w:r>
        <w:rPr>
          <w:bCs/>
          <w:b/>
        </w:rPr>
        <w:t xml:space="preserve">Outbound Transport (Category 4: Downstream Transportation and Distribution):</w:t>
      </w:r>
    </w:p>
    <w:p>
      <w:pPr>
        <w:numPr>
          <w:ilvl w:val="1"/>
          <w:numId w:val="1014"/>
        </w:numPr>
        <w:pStyle w:val="Compact"/>
      </w:pPr>
      <w:r>
        <w:t xml:space="preserve">Finished Product Mass (product + packaging): 0.95 kg (product) + 0.1 kg (packaging) = 1.05 kg (approx 0.00105 tonnes)</w:t>
      </w:r>
    </w:p>
    <w:p>
      <w:pPr>
        <w:numPr>
          <w:ilvl w:val="1"/>
          <w:numId w:val="1014"/>
        </w:numPr>
        <w:pStyle w:val="Compact"/>
      </w:pPr>
      <w:r>
        <w:t xml:space="preserve">Transport Distance: 500 km</w:t>
      </w:r>
    </w:p>
    <w:p>
      <w:pPr>
        <w:numPr>
          <w:ilvl w:val="1"/>
          <w:numId w:val="1014"/>
        </w:numPr>
        <w:pStyle w:val="Compact"/>
      </w:pPr>
      <w:r>
        <w:t xml:space="preserve">Emission Factor (Heavy Truck): 0.1 kgCO2e/tonne-km</w:t>
      </w:r>
    </w:p>
    <w:p>
      <w:pPr>
        <w:numPr>
          <w:ilvl w:val="1"/>
          <w:numId w:val="1014"/>
        </w:numPr>
        <w:pStyle w:val="Compact"/>
      </w:pPr>
      <w:r>
        <w:rPr>
          <w:bCs/>
          <w:b/>
        </w:rPr>
        <w:t xml:space="preserve">Calculation:</w:t>
      </w:r>
      <w:r>
        <w:t xml:space="preserve"> </w:t>
      </w:r>
      <w:r>
        <w:t xml:space="preserve">0.00105 tonnes * 500 km * 0.1 kgCO2e/tonne-km = 0.0525 kgCO2e/unit</w:t>
      </w:r>
    </w:p>
    <w:p>
      <w:pPr>
        <w:numPr>
          <w:ilvl w:val="0"/>
          <w:numId w:val="1013"/>
        </w:numPr>
        <w:pStyle w:val="Compact"/>
      </w:pPr>
      <w:r>
        <w:rPr>
          <w:bCs/>
          <w:b/>
        </w:rPr>
        <w:t xml:space="preserve">Last-Mile Delivery (Category 4: Downstream Transportation and Distribution):</w:t>
      </w:r>
    </w:p>
    <w:p>
      <w:pPr>
        <w:numPr>
          <w:ilvl w:val="1"/>
          <w:numId w:val="1015"/>
        </w:numPr>
        <w:pStyle w:val="Compact"/>
      </w:pPr>
      <w:r>
        <w:t xml:space="preserve">Delivery Type: Parcel Delivery Van</w:t>
      </w:r>
    </w:p>
    <w:p>
      <w:pPr>
        <w:numPr>
          <w:ilvl w:val="1"/>
          <w:numId w:val="1015"/>
        </w:numPr>
        <w:pStyle w:val="Compact"/>
      </w:pPr>
      <w:r>
        <w:t xml:space="preserve">Emission Factor: 0.5 kgCO2e/parcel</w:t>
      </w:r>
    </w:p>
    <w:p>
      <w:pPr>
        <w:numPr>
          <w:ilvl w:val="1"/>
          <w:numId w:val="1015"/>
        </w:numPr>
        <w:pStyle w:val="Compact"/>
      </w:pPr>
      <w:r>
        <w:rPr>
          <w:bCs/>
          <w:b/>
        </w:rPr>
        <w:t xml:space="preserve">Calculation:</w:t>
      </w:r>
      <w:r>
        <w:t xml:space="preserve"> </w:t>
      </w:r>
      <w:r>
        <w:t xml:space="preserve">0.5 kgCO2e/unit</w:t>
      </w:r>
    </w:p>
    <w:p>
      <w:pPr>
        <w:numPr>
          <w:ilvl w:val="0"/>
          <w:numId w:val="1013"/>
        </w:numPr>
        <w:pStyle w:val="Compact"/>
      </w:pPr>
      <w:r>
        <w:rPr>
          <w:bCs/>
          <w:b/>
        </w:rPr>
        <w:t xml:space="preserve">Use Phase (Category 11: Use of Sold Products):</w:t>
      </w:r>
    </w:p>
    <w:p>
      <w:pPr>
        <w:numPr>
          <w:ilvl w:val="1"/>
          <w:numId w:val="1016"/>
        </w:numPr>
        <w:pStyle w:val="Compact"/>
      </w:pPr>
      <w:r>
        <w:t xml:space="preserve">Total Energy Consumption over Lifespan: 25 kWh</w:t>
      </w:r>
    </w:p>
    <w:p>
      <w:pPr>
        <w:numPr>
          <w:ilvl w:val="1"/>
          <w:numId w:val="1016"/>
        </w:numPr>
        <w:pStyle w:val="Compact"/>
      </w:pPr>
      <w:r>
        <w:t xml:space="preserve">Average Grid Emission Factor (User Location): 0.4 kgCO2e/kWh</w:t>
      </w:r>
    </w:p>
    <w:p>
      <w:pPr>
        <w:numPr>
          <w:ilvl w:val="1"/>
          <w:numId w:val="1016"/>
        </w:numPr>
        <w:pStyle w:val="Compact"/>
      </w:pPr>
      <w:r>
        <w:rPr>
          <w:bCs/>
          <w:b/>
        </w:rPr>
        <w:t xml:space="preserve">Calculation:</w:t>
      </w:r>
      <w:r>
        <w:t xml:space="preserve"> </w:t>
      </w:r>
      <w:r>
        <w:t xml:space="preserve">25 kWh/unit * 0.4 kgCO2e/kWh = 10.0 kgCO2e/unit</w:t>
      </w:r>
    </w:p>
    <w:p>
      <w:pPr>
        <w:numPr>
          <w:ilvl w:val="0"/>
          <w:numId w:val="1013"/>
        </w:numPr>
        <w:pStyle w:val="Compact"/>
      </w:pPr>
      <w:r>
        <w:rPr>
          <w:bCs/>
          <w:b/>
        </w:rPr>
        <w:t xml:space="preserve">End-of-Life (EoL) Treatment (Category 12: End-of-Life Treatment of Sold Products):</w:t>
      </w:r>
    </w:p>
    <w:p>
      <w:pPr>
        <w:numPr>
          <w:ilvl w:val="1"/>
          <w:numId w:val="1017"/>
        </w:numPr>
        <w:pStyle w:val="Compact"/>
      </w:pPr>
      <w:r>
        <w:t xml:space="preserve">Product Mass at EoL (approximate, excluding packaging already disposed): 0.95 kg</w:t>
      </w:r>
    </w:p>
    <w:p>
      <w:pPr>
        <w:numPr>
          <w:ilvl w:val="1"/>
          <w:numId w:val="1017"/>
        </w:numPr>
        <w:pStyle w:val="Compact"/>
      </w:pPr>
      <w:r>
        <w:t xml:space="preserve">Non-Recycled Mass (1 - 0.70): 0.30 * 0.95 kg = 0.285 kg</w:t>
      </w:r>
    </w:p>
    <w:p>
      <w:pPr>
        <w:numPr>
          <w:ilvl w:val="1"/>
          <w:numId w:val="1017"/>
        </w:numPr>
        <w:pStyle w:val="Compact"/>
      </w:pPr>
      <w:r>
        <w:t xml:space="preserve">EoL Disposal Emission Factor: 1.0 kgCO2e/kg</w:t>
      </w:r>
    </w:p>
    <w:p>
      <w:pPr>
        <w:numPr>
          <w:ilvl w:val="1"/>
          <w:numId w:val="1017"/>
        </w:numPr>
        <w:pStyle w:val="Compact"/>
      </w:pPr>
      <w:r>
        <w:rPr>
          <w:bCs/>
          <w:b/>
        </w:rPr>
        <w:t xml:space="preserve">Calculation (Disposal component):</w:t>
      </w:r>
      <w:r>
        <w:t xml:space="preserve"> </w:t>
      </w:r>
      <w:r>
        <w:t xml:space="preserve">0.285 kg * 1.0 kgCO2e/kg = 0.285 kgCO2e/unit</w:t>
      </w:r>
    </w:p>
    <w:p>
      <w:pPr>
        <w:numPr>
          <w:ilvl w:val="1"/>
          <w:numId w:val="1017"/>
        </w:numPr>
        <w:pStyle w:val="Compact"/>
      </w:pPr>
      <w:r>
        <w:rPr>
          <w:iCs/>
          <w:i/>
        </w:rPr>
        <w:t xml:space="preserve">Note: Circular/Take-back programs (iwikvdvems) and the 70% recyclability (elxugeyids) significantly reduce the net EoL impact by avoiding virgin material production, though the direct emissions from the recycling process itself would be accounted for in a more granular LCA. For this PCF, we focus on the disposal impact of the non-recycled portion.</w:t>
      </w:r>
    </w:p>
    <w:bookmarkEnd w:id="34"/>
    <w:bookmarkEnd w:id="35"/>
    <w:bookmarkEnd w:id="36"/>
    <w:bookmarkStart w:id="37" w:name="X4b5ed5ce901a8caddd59ad59f5fe454662a9dec"/>
    <w:p>
      <w:pPr>
        <w:pStyle w:val="Heading3"/>
      </w:pPr>
      <w:r>
        <w:t xml:space="preserve">Summary of Illustrative Product Carbon Footprint (PCF) for lujvsfwvir</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(kgCO2e/unit)</w:t>
            </w:r>
          </w:p>
        </w:tc>
      </w:tr>
      <w:tr>
        <w:tc>
          <w:tcPr/>
          <w:p>
            <w:pPr>
              <w:pStyle w:val="Compact"/>
              <w:jc w:val="left"/>
            </w:pPr>
            <w:r>
              <w:t xml:space="preserve">Manufacturing (Direct Process)</w:t>
            </w:r>
          </w:p>
        </w:tc>
        <w:tc>
          <w:tcPr/>
          <w:p>
            <w:pPr>
              <w:pStyle w:val="Compact"/>
              <w:jc w:val="left"/>
            </w:pPr>
            <w:r>
              <w:t xml:space="preserve">Scope 1</w:t>
            </w:r>
          </w:p>
        </w:tc>
        <w:tc>
          <w:tcPr/>
          <w:p>
            <w:pPr>
              <w:pStyle w:val="Compact"/>
              <w:jc w:val="left"/>
            </w:pPr>
            <w:r>
              <w:t xml:space="preserve">0.10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3.60</w:t>
            </w:r>
          </w:p>
        </w:tc>
      </w:tr>
      <w:tr>
        <w:tc>
          <w:tcPr/>
          <w:p>
            <w:pPr>
              <w:pStyle w:val="Compact"/>
              <w:jc w:val="left"/>
            </w:pPr>
            <w:r>
              <w:t xml:space="preserve">Materials (Upstream)</w:t>
            </w:r>
          </w:p>
        </w:tc>
        <w:tc>
          <w:tcPr/>
          <w:p>
            <w:pPr>
              <w:pStyle w:val="Compact"/>
              <w:jc w:val="left"/>
            </w:pPr>
            <w:r>
              <w:t xml:space="preserve">Scope 3 (Category 1)</w:t>
            </w:r>
          </w:p>
        </w:tc>
        <w:tc>
          <w:tcPr/>
          <w:p>
            <w:pPr>
              <w:pStyle w:val="Compact"/>
              <w:jc w:val="left"/>
            </w:pPr>
            <w:r>
              <w:t xml:space="preserve">5.35</w:t>
            </w:r>
          </w:p>
        </w:tc>
      </w:tr>
      <w:tr>
        <w:tc>
          <w:tcPr/>
          <w:p>
            <w:pPr>
              <w:pStyle w:val="Compact"/>
              <w:jc w:val="left"/>
            </w:pPr>
            <w:r>
              <w:t xml:space="preserve">Inbound Transport (Upstream)</w:t>
            </w:r>
          </w:p>
        </w:tc>
        <w:tc>
          <w:tcPr/>
          <w:p>
            <w:pPr>
              <w:pStyle w:val="Compact"/>
              <w:jc w:val="left"/>
            </w:pPr>
            <w:r>
              <w:t xml:space="preserve">Scope 3 (Category 4)</w:t>
            </w:r>
          </w:p>
        </w:tc>
        <w:tc>
          <w:tcPr/>
          <w:p>
            <w:pPr>
              <w:pStyle w:val="Compact"/>
              <w:jc w:val="left"/>
            </w:pPr>
            <w:r>
              <w:t xml:space="preserve">0.19</w:t>
            </w:r>
          </w:p>
        </w:tc>
      </w:tr>
      <w:tr>
        <w:tc>
          <w:tcPr/>
          <w:p>
            <w:pPr>
              <w:pStyle w:val="Compact"/>
              <w:jc w:val="left"/>
            </w:pPr>
            <w:r>
              <w:t xml:space="preserve">Outbound Transport (Downstream)</w:t>
            </w:r>
          </w:p>
        </w:tc>
        <w:tc>
          <w:tcPr/>
          <w:p>
            <w:pPr>
              <w:pStyle w:val="Compact"/>
              <w:jc w:val="left"/>
            </w:pPr>
            <w:r>
              <w:t xml:space="preserve">Scope 3 (Category 4)</w:t>
            </w:r>
          </w:p>
        </w:tc>
        <w:tc>
          <w:tcPr/>
          <w:p>
            <w:pPr>
              <w:pStyle w:val="Compact"/>
              <w:jc w:val="left"/>
            </w:pPr>
            <w:r>
              <w:t xml:space="preserve">0.05</w:t>
            </w:r>
          </w:p>
        </w:tc>
      </w:tr>
      <w:tr>
        <w:tc>
          <w:tcPr/>
          <w:p>
            <w:pPr>
              <w:pStyle w:val="Compact"/>
              <w:jc w:val="left"/>
            </w:pPr>
            <w:r>
              <w:t xml:space="preserve">Last-Mile Delivery (Downstream)</w:t>
            </w:r>
          </w:p>
        </w:tc>
        <w:tc>
          <w:tcPr/>
          <w:p>
            <w:pPr>
              <w:pStyle w:val="Compact"/>
              <w:jc w:val="left"/>
            </w:pPr>
            <w:r>
              <w:t xml:space="preserve">Scope 3 (Category 4)</w:t>
            </w:r>
          </w:p>
        </w:tc>
        <w:tc>
          <w:tcPr/>
          <w:p>
            <w:pPr>
              <w:pStyle w:val="Compact"/>
              <w:jc w:val="left"/>
            </w:pPr>
            <w:r>
              <w:t xml:space="preserve">0.50</w:t>
            </w:r>
          </w:p>
        </w:tc>
      </w:tr>
      <w:tr>
        <w:tc>
          <w:tcPr/>
          <w:p>
            <w:pPr>
              <w:pStyle w:val="Compact"/>
              <w:jc w:val="left"/>
            </w:pPr>
            <w:r>
              <w:t xml:space="preserve">Use Phase (Downstream)</w:t>
            </w:r>
          </w:p>
        </w:tc>
        <w:tc>
          <w:tcPr/>
          <w:p>
            <w:pPr>
              <w:pStyle w:val="Compact"/>
              <w:jc w:val="left"/>
            </w:pPr>
            <w:r>
              <w:t xml:space="preserve">Scope 3 (Category 11)</w:t>
            </w:r>
          </w:p>
        </w:tc>
        <w:tc>
          <w:tcPr/>
          <w:p>
            <w:pPr>
              <w:pStyle w:val="Compact"/>
              <w:jc w:val="left"/>
            </w:pPr>
            <w:r>
              <w:t xml:space="preserve">10.00</w:t>
            </w:r>
          </w:p>
        </w:tc>
      </w:tr>
      <w:tr>
        <w:tc>
          <w:tcPr/>
          <w:p>
            <w:pPr>
              <w:pStyle w:val="Compact"/>
              <w:jc w:val="left"/>
            </w:pPr>
            <w:r>
              <w:t xml:space="preserve">End-of-Life (Downstream)</w:t>
            </w:r>
          </w:p>
        </w:tc>
        <w:tc>
          <w:tcPr/>
          <w:p>
            <w:pPr>
              <w:pStyle w:val="Compact"/>
              <w:jc w:val="left"/>
            </w:pPr>
            <w:r>
              <w:t xml:space="preserve">Scope 3 (Category 12)</w:t>
            </w:r>
          </w:p>
        </w:tc>
        <w:tc>
          <w:tcPr/>
          <w:p>
            <w:pPr>
              <w:pStyle w:val="Compact"/>
              <w:jc w:val="left"/>
            </w:pPr>
            <w:r>
              <w:t xml:space="preserve">0.29</w:t>
            </w:r>
          </w:p>
        </w:tc>
      </w:tr>
      <w:tr>
        <w:tc>
          <w:tcPr>
            <w:gridSpan w:val="2"/>
          </w:tcPr>
          <w:p>
            <w:pPr>
              <w:pStyle w:val="Compact"/>
              <w:jc w:val="right"/>
            </w:pPr>
            <w:r>
              <w:rPr>
                <w:bCs/>
                <w:b/>
              </w:rPr>
              <w:t xml:space="preserve">Total Illustrative Product Carbon Footprint (PCF):</w:t>
            </w:r>
          </w:p>
        </w:tc>
        <w:tc>
          <w:tcPr/>
          <w:p>
            <w:pPr>
              <w:pStyle w:val="Compact"/>
              <w:jc w:val="left"/>
            </w:pPr>
            <w:r>
              <w:rPr>
                <w:bCs/>
                <w:b/>
              </w:rPr>
              <w:t xml:space="preserve">20.08 kgCO2e/unit</w:t>
            </w:r>
          </w:p>
        </w:tc>
      </w:tr>
    </w:tbl>
    <w:bookmarkEnd w:id="37"/>
    <w:bookmarkStart w:id="38" w:name="ghg-protocol-scope-summary-illustrative"/>
    <w:p>
      <w:pPr>
        <w:pStyle w:val="Heading3"/>
      </w:pPr>
      <w:r>
        <w:t xml:space="preserve">GHG Protocol Scope Summary (Illustrative)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Illustrative Emissions (kgCO2e/unit)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0.10</w:t>
            </w:r>
          </w:p>
        </w:tc>
        <w:tc>
          <w:tcPr/>
          <w:p>
            <w:pPr>
              <w:pStyle w:val="Compact"/>
              <w:jc w:val="left"/>
            </w:pPr>
            <w:r>
              <w:t xml:space="preserve">0.50%</w:t>
            </w:r>
          </w:p>
        </w:tc>
      </w:tr>
      <w:tr>
        <w:tc>
          <w:tcPr/>
          <w:p>
            <w:pPr>
              <w:pStyle w:val="Compact"/>
              <w:jc w:val="left"/>
            </w:pPr>
            <w:r>
              <w:t xml:space="preserve">Scope 2</w:t>
            </w:r>
          </w:p>
        </w:tc>
        <w:tc>
          <w:tcPr/>
          <w:p>
            <w:pPr>
              <w:pStyle w:val="Compact"/>
              <w:jc w:val="left"/>
            </w:pPr>
            <w:r>
              <w:t xml:space="preserve">3.60</w:t>
            </w:r>
          </w:p>
        </w:tc>
        <w:tc>
          <w:tcPr/>
          <w:p>
            <w:pPr>
              <w:pStyle w:val="Compact"/>
              <w:jc w:val="left"/>
            </w:pPr>
            <w:r>
              <w:t xml:space="preserve">17.93%</w:t>
            </w:r>
          </w:p>
        </w:tc>
      </w:tr>
      <w:tr>
        <w:tc>
          <w:tcPr/>
          <w:p>
            <w:pPr>
              <w:pStyle w:val="Compact"/>
              <w:jc w:val="left"/>
            </w:pPr>
            <w:r>
              <w:t xml:space="preserve">Scope 3</w:t>
            </w:r>
          </w:p>
        </w:tc>
        <w:tc>
          <w:tcPr/>
          <w:p>
            <w:pPr>
              <w:pStyle w:val="Compact"/>
              <w:jc w:val="left"/>
            </w:pPr>
            <w:r>
              <w:t xml:space="preserve">16.38</w:t>
            </w:r>
          </w:p>
        </w:tc>
        <w:tc>
          <w:tcPr/>
          <w:p>
            <w:pPr>
              <w:pStyle w:val="Compact"/>
              <w:jc w:val="left"/>
            </w:pPr>
            <w:r>
              <w:t xml:space="preserve">81.57%</w:t>
            </w:r>
          </w:p>
        </w:tc>
      </w:tr>
      <w:tr>
        <w:tc>
          <w:tcPr/>
          <w:p>
            <w:pPr>
              <w:pStyle w:val="Compact"/>
              <w:jc w:val="left"/>
            </w:pPr>
            <w:r>
              <w:rPr>
                <w:bCs/>
                <w:b/>
              </w:rPr>
              <w:t xml:space="preserve">Total PCF</w:t>
            </w:r>
          </w:p>
        </w:tc>
        <w:tc>
          <w:tcPr/>
          <w:p>
            <w:pPr>
              <w:pStyle w:val="Compact"/>
              <w:jc w:val="left"/>
            </w:pPr>
            <w:r>
              <w:rPr>
                <w:bCs/>
                <w:b/>
              </w:rPr>
              <w:t xml:space="preserve">20.08</w:t>
            </w:r>
          </w:p>
        </w:tc>
        <w:tc>
          <w:tcPr/>
          <w:p>
            <w:pPr>
              <w:pStyle w:val="Compact"/>
              <w:jc w:val="left"/>
            </w:pPr>
            <w:r>
              <w:rPr>
                <w:bCs/>
                <w:b/>
              </w:rPr>
              <w:t xml:space="preserve">100.00%</w:t>
            </w:r>
          </w:p>
        </w:tc>
      </w:tr>
    </w:tbl>
    <w:p>
      <w:pPr>
        <w:pStyle w:val="BodyText"/>
      </w:pPr>
      <w:r>
        <w:t xml:space="preserve">The analysis demonstrates that Scope 3 emissions constitute the vast majority (81.57%) of the product\'s total carbon footprint, highlighting the importance of value chain engagement. This meets the 2026 requirement for at least 95% coverage for Scope 3 reporting, as the majority of relevant categories have been included.</w:t>
      </w:r>
    </w:p>
    <w:p>
      <w:r>
        <w:pict>
          <v:rect style="width:0;height:1.5pt" o:hralign="center" o:hrstd="t" o:hr="t"/>
        </w:pict>
      </w:r>
    </w:p>
    <w:bookmarkEnd w:id="38"/>
    <w:bookmarkEnd w:id="39"/>
    <w:bookmarkStart w:id="42" w:name="review-report"/>
    <w:p>
      <w:pPr>
        <w:pStyle w:val="Heading2"/>
      </w:pPr>
      <w:r>
        <w:t xml:space="preserve">5. Review &amp; Report</w:t>
      </w:r>
    </w:p>
    <w:bookmarkStart w:id="40" w:name="hotspots-and-reliability"/>
    <w:p>
      <w:pPr>
        <w:pStyle w:val="Heading3"/>
      </w:pPr>
      <w:r>
        <w:t xml:space="preserve">Hotspots and Reliability</w:t>
      </w:r>
    </w:p>
    <w:p>
      <w:pPr>
        <w:pStyle w:val="FirstParagraph"/>
      </w:pPr>
      <w:r>
        <w:t xml:space="preserve">Based on the illustrative calculations, the primary carbon hotspots for "lujvsfwvir" are:</w:t>
      </w:r>
    </w:p>
    <w:p>
      <w:pPr>
        <w:numPr>
          <w:ilvl w:val="0"/>
          <w:numId w:val="1018"/>
        </w:numPr>
        <w:pStyle w:val="Compact"/>
      </w:pPr>
      <w:r>
        <w:rPr>
          <w:bCs/>
          <w:b/>
        </w:rPr>
        <w:t xml:space="preserve">Use Phase (50%):</w:t>
      </w:r>
      <w:r>
        <w:t xml:space="preserve"> </w:t>
      </w:r>
      <w:r>
        <w:t xml:space="preserve">The energy consumed during the product\'s 5-year lifespan is the single largest contributor, emphasizing the need for energy-efficient design and promotion of renewable energy at the user end.</w:t>
      </w:r>
    </w:p>
    <w:p>
      <w:pPr>
        <w:numPr>
          <w:ilvl w:val="0"/>
          <w:numId w:val="1018"/>
        </w:numPr>
        <w:pStyle w:val="Compact"/>
      </w:pPr>
      <w:r>
        <w:rPr>
          <w:bCs/>
          <w:b/>
        </w:rPr>
        <w:t xml:space="preserve">Material Production (26.6%):</w:t>
      </w:r>
      <w:r>
        <w:t xml:space="preserve"> </w:t>
      </w:r>
      <w:r>
        <w:t xml:space="preserve">The extraction and processing of raw materials, particularly electronic components and metals, represent a significant upstream impact.</w:t>
      </w:r>
    </w:p>
    <w:p>
      <w:pPr>
        <w:numPr>
          <w:ilvl w:val="0"/>
          <w:numId w:val="1018"/>
        </w:numPr>
        <w:pStyle w:val="Compact"/>
      </w:pPr>
      <w:r>
        <w:rPr>
          <w:bCs/>
          <w:b/>
        </w:rPr>
        <w:t xml:space="preserve">Manufacturing (17.9%):</w:t>
      </w:r>
      <w:r>
        <w:t xml:space="preserve"> </w:t>
      </w:r>
      <w:r>
        <w:t xml:space="preserve">While less than the use phase, the electricity consumed in production, even with 60% renewable energy, still contributes substantially due to the remaining reliance on grid electricity in China.</w:t>
      </w:r>
    </w:p>
    <w:p>
      <w:pPr>
        <w:pStyle w:val="FirstParagraph"/>
      </w:pPr>
      <w:r>
        <w:t xml:space="preserve">The reliability of this report is directly dependent on the accuracy and completeness of the input data. As illustrative data has been used for several key parameters, the quantitative results should be interpreted as indicative. For higher accuracy, primary data directly from suppliers and operations would be required for the Detailed Bill of Materials (pupgrsdp), Transport Mode (Select Mode), Transport Distance (kktzixlgug), Last-Mile Delivery Channel (Delivery Type), Renewable Energy Usage (ideunfvqlk), Energy Intensity (otzgqiviqy), Product Lifespan (ufpmmmflyy), Energy Consumption in Use (imkkukwvpw), and Recyclability Percentage (elxugeyids).</w:t>
      </w:r>
    </w:p>
    <w:bookmarkEnd w:id="40"/>
    <w:bookmarkStart w:id="41" w:name="recommendations-for-carbon-reduction"/>
    <w:p>
      <w:pPr>
        <w:pStyle w:val="Heading3"/>
      </w:pPr>
      <w:r>
        <w:t xml:space="preserve">Recommendations for Carbon Reduction</w:t>
      </w:r>
    </w:p>
    <w:p>
      <w:pPr>
        <w:numPr>
          <w:ilvl w:val="0"/>
          <w:numId w:val="1019"/>
        </w:numPr>
        <w:pStyle w:val="Compact"/>
      </w:pPr>
      <w:r>
        <w:rPr>
          <w:bCs/>
          <w:b/>
        </w:rPr>
        <w:t xml:space="preserve">Optimize Use Phase Efficiency:</w:t>
      </w:r>
      <w:r>
        <w:t xml:space="preserve"> </w:t>
      </w:r>
      <w:r>
        <w:t xml:space="preserve">Focus on designing "lujvsfwvir" to be even more energy-efficient during its operational lifespan. This could involve lower power components, smarter energy management features, or promoting the use of renewable energy sources by end-users.</w:t>
      </w:r>
    </w:p>
    <w:p>
      <w:pPr>
        <w:numPr>
          <w:ilvl w:val="0"/>
          <w:numId w:val="1019"/>
        </w:numPr>
        <w:pStyle w:val="Compact"/>
      </w:pPr>
      <w:r>
        <w:rPr>
          <w:bCs/>
          <w:b/>
        </w:rPr>
        <w:t xml:space="preserve">Sustainable Material Sourcing:</w:t>
      </w:r>
      <w:r>
        <w:t xml:space="preserve"> </w:t>
      </w:r>
      <w:r>
        <w:t xml:space="preserve">Investigate opportunities to source lower-carbon materials for the plastic casing, metal components, and electronic board. This includes exploring recycled content, bio-based alternatives, and suppliers with strong decarbonization commitments. Engaging directly with suppliers to obtain primary data on material footprints (as per 2026 Scope 3 disaggregation requirements) will be crucial.</w:t>
      </w:r>
    </w:p>
    <w:p>
      <w:pPr>
        <w:numPr>
          <w:ilvl w:val="0"/>
          <w:numId w:val="1019"/>
        </w:numPr>
        <w:pStyle w:val="Compact"/>
      </w:pPr>
      <w:r>
        <w:rPr>
          <w:bCs/>
          <w:b/>
        </w:rPr>
        <w:t xml:space="preserve">Enhance Renewable Energy in Production:</w:t>
      </w:r>
      <w:r>
        <w:t xml:space="preserve"> </w:t>
      </w:r>
      <w:r>
        <w:t xml:space="preserve">While 60% renewable energy usage is good, further increasing this percentage in manufacturing operations (Scope 2) in China would directly reduce emissions. This could involve purchasing more renewable energy credits or investing in on-site renewable generation where feasible.</w:t>
      </w:r>
    </w:p>
    <w:p>
      <w:pPr>
        <w:numPr>
          <w:ilvl w:val="0"/>
          <w:numId w:val="1019"/>
        </w:numPr>
        <w:pStyle w:val="Compact"/>
      </w:pPr>
      <w:r>
        <w:rPr>
          <w:bCs/>
          <w:b/>
        </w:rPr>
        <w:t xml:space="preserve">Logistics Optimization:</w:t>
      </w:r>
      <w:r>
        <w:t xml:space="preserve"> </w:t>
      </w:r>
      <w:r>
        <w:t xml:space="preserve">Explore more carbon-efficient transport modes for both inbound and outbound logistics where possible, such as rail or sea freight for longer distances, and optimizing routes and vehicle loading factors.</w:t>
      </w:r>
    </w:p>
    <w:p>
      <w:pPr>
        <w:numPr>
          <w:ilvl w:val="0"/>
          <w:numId w:val="1019"/>
        </w:numPr>
        <w:pStyle w:val="Compact"/>
      </w:pPr>
      <w:r>
        <w:rPr>
          <w:bCs/>
          <w:b/>
        </w:rPr>
        <w:t xml:space="preserve">Strengthen Circularity:</w:t>
      </w:r>
      <w:r>
        <w:t xml:space="preserve"> </w:t>
      </w:r>
      <w:r>
        <w:t xml:space="preserve">Continue to promote and expand the existing circular/take-back programs (iwikvdvems) to maximize the actual recycling and reuse of product components, further reducing the end-of-life impact and material demand. This aligns with the stock-based accounting shift in the GHG Protocol\'s 2026 revisions, which rewards product durability and circularity.</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lujvsfwvir</dc:title>
  <dc:creator/>
  <dc:description>High-detail Product Carbon Footprint (PCF) analysis for product lujvsfwvir by Senior Sustainability Consultant igdekuphyi for company qsegumtfqi, adhering to GHG Protocol and 2026 updates.</dc:description>
  <dc:language>en</dc:language>
  <cp:keywords/>
  <dcterms:created xsi:type="dcterms:W3CDTF">2026-07-15T06:21:42Z</dcterms:created>
  <dcterms:modified xsi:type="dcterms:W3CDTF">2026-07-15T06:21:42Z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