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lttkjdzgrj</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lttkjdzgrj</w:t>
      </w:r>
    </w:p>
    <w:p>
      <w:pPr>
        <w:pStyle w:val="BodyText"/>
      </w:pPr>
      <w:r>
        <w:rPr>
          <w:bCs/>
          <w:b/>
        </w:rPr>
        <w:t xml:space="preserve">Company:</w:t>
      </w:r>
      <w:r>
        <w:t xml:space="preserve"> </w:t>
      </w:r>
      <w:r>
        <w:t xml:space="preserve">ehvtkpqqpo</w:t>
      </w:r>
    </w:p>
    <w:p>
      <w:pPr>
        <w:pStyle w:val="BodyText"/>
      </w:pPr>
      <w:r>
        <w:rPr>
          <w:bCs/>
          <w:b/>
        </w:rPr>
        <w:t xml:space="preserve">Senior Sustainability Consultant:</w:t>
      </w:r>
      <w:r>
        <w:t xml:space="preserve"> </w:t>
      </w:r>
      <w:r>
        <w:t xml:space="preserve">oqsyjgwmwj</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Assumptions have been made for placeholder parameters and emission factors where specific data was not provided, as detailed within the report.</w:t>
      </w:r>
    </w:p>
    <w:bookmarkEnd w:id="20"/>
    <w:bookmarkStart w:id="21" w:name="X2c9d4405811544e9b8d87c6acd9fbb16f3f4905"/>
    <w:p>
      <w:pPr>
        <w:pStyle w:val="Heading1"/>
      </w:pPr>
      <w:r>
        <w:t xml:space="preserve">Product Carbon Footprint Analysis Report for lttkjdzgrj</w:t>
      </w:r>
    </w:p>
    <w:p>
      <w:pPr>
        <w:pStyle w:val="FirstParagraph"/>
      </w:pPr>
      <w:r>
        <w:t xml:space="preserve">Generated Date: May 25,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"lttkjdzgrj" manufactured by ehvtkpqqpo. The analysis was conducted by oqsyjgwmwj, Senior Sustainability Consultant, following the Greenhouse Gas (GHG) Protocol standards, including adherence to the 2026 Land Sector and Removals (LSR) Standard update. The PCF is calculated for a functional unit of 1.0 unit of lttkjdzgrj, encompassing a cradle-to-grave perspective to reflect comprehensive life cycle impacts. The total carbon footprint for one unit of lttkjdzgrj is estimated to be 31.802 kg CO2e, with the use phase identified as the primary hotspot.</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scope of this Product Carbon Footprint (PCF) analysis is defined as follows:</w:t>
      </w:r>
    </w:p>
    <w:p>
      <w:pPr>
        <w:numPr>
          <w:ilvl w:val="0"/>
          <w:numId w:val="1001"/>
        </w:numPr>
        <w:pStyle w:val="Compact"/>
      </w:pPr>
      <w:r>
        <w:rPr>
          <w:bCs/>
          <w:b/>
        </w:rPr>
        <w:t xml:space="preserve">Functional Unit:</w:t>
      </w:r>
      <w:r>
        <w:t xml:space="preserve"> </w:t>
      </w:r>
      <w:r>
        <w:t xml:space="preserve">1.0 unit of lttkjdzgrj.</w:t>
      </w:r>
    </w:p>
    <w:p>
      <w:pPr>
        <w:numPr>
          <w:ilvl w:val="0"/>
          <w:numId w:val="1001"/>
        </w:numPr>
        <w:pStyle w:val="Compact"/>
      </w:pPr>
      <w:r>
        <w:rPr>
          <w:bCs/>
          <w:b/>
        </w:rPr>
        <w:t xml:space="preserve">System Boundary:</w:t>
      </w:r>
      <w:r>
        <w:t xml:space="preserve"> </w:t>
      </w:r>
      <w:r>
        <w:t xml:space="preserve">Cradle-to-grave, with a primary focus on the \'factory_gate\' for production emissions, extended to include upstream (raw materials, transport) and downstream (use phase, end-of-life) impacts to provide a comprehensive view of the product\'s value chain emissions.</w:t>
      </w:r>
    </w:p>
    <w:p>
      <w:pPr>
        <w:numPr>
          <w:ilvl w:val="0"/>
          <w:numId w:val="1001"/>
        </w:numPr>
        <w:pStyle w:val="Compact"/>
      </w:pPr>
      <w:r>
        <w:rPr>
          <w:bCs/>
          <w:b/>
        </w:rPr>
        <w:t xml:space="preserve">Geographic Scope:</w:t>
      </w:r>
      <w:r>
        <w:t xml:space="preserve"> </w:t>
      </w:r>
      <w:r>
        <w:t xml:space="preserve">Final Production Country: China, with a Supply Chain Focus on Europe for upstream activities.</w:t>
      </w:r>
    </w:p>
    <w:p>
      <w:pPr>
        <w:numPr>
          <w:ilvl w:val="0"/>
          <w:numId w:val="1001"/>
        </w:numPr>
        <w:pStyle w:val="Compact"/>
      </w:pPr>
      <w:r>
        <w:rPr>
          <w:bCs/>
          <w:b/>
        </w:rPr>
        <w:t xml:space="preserve">Accounting Standard:</w:t>
      </w:r>
      <w:r>
        <w:t xml:space="preserve"> </w:t>
      </w:r>
      <w:r>
        <w:t xml:space="preserve">GHG Protocol, specifically utilizing the Corporate Value Chain (Scope 3) Accounting and Reporting Standard for value chain emissions and integrating principles from the Land Sector and Removals (LSR) Standard (2026 update).</w:t>
      </w:r>
    </w:p>
    <w:p>
      <w:pPr>
        <w:numPr>
          <w:ilvl w:val="0"/>
          <w:numId w:val="1001"/>
        </w:numPr>
        <w:pStyle w:val="Compact"/>
      </w:pPr>
      <w:r>
        <w:rPr>
          <w:bCs/>
          <w:b/>
        </w:rPr>
        <w:t xml:space="preserve">Allocation:</w:t>
      </w:r>
      <w:r>
        <w:t xml:space="preserve"> </w:t>
      </w:r>
      <w:r>
        <w:t xml:space="preserve">For multi-product systems (if applicable), emissions are allocated based on mass. For this single-product analysis, direct attribution is applied.</w:t>
      </w:r>
    </w:p>
    <w:p>
      <w:r>
        <w:pict>
          <v:rect style="width:0;height:1.5pt" o:hralign="center" o:hrstd="t" o:hr="t"/>
        </w:pict>
      </w:r>
    </w:p>
    <w:bookmarkEnd w:id="23"/>
    <w:bookmarkStart w:id="30" w:name="lifecycle-mapping-3.-data-collection"/>
    <w:p>
      <w:pPr>
        <w:pStyle w:val="Heading2"/>
      </w:pPr>
      <w:r>
        <w:t xml:space="preserve">2. Lifecycle Mapping &amp; 3. Data Collection</w:t>
      </w:r>
    </w:p>
    <w:p>
      <w:pPr>
        <w:pStyle w:val="FirstParagraph"/>
      </w:pPr>
      <w:r>
        <w:t xml:space="preserve">The lifecycle of lttkjdzgrj was mapped into distinct stages, and data was collected from primary and secondary sources. Placeholder parameters provided in the analysis request have been assigned representative numerical values for calculation purposes, as detailed below. Emission factors from industry-standard databases such as Ecoinvent and DEFRA have been utilized for calculation, or reasonable proxies thereof.</w:t>
      </w:r>
    </w:p>
    <w:bookmarkStart w:id="24" w:name="X6d9a4de3447d349f7e8509e4de076eeccd9d1cd"/>
    <w:p>
      <w:pPr>
        <w:pStyle w:val="Heading3"/>
      </w:pPr>
      <w:r>
        <w:t xml:space="preserve">2.1. Bill of Materials (BOM) - Upstream (Scope 3, Category 1: Purchased Goods &amp; Services)</w:t>
      </w:r>
    </w:p>
    <w:p>
      <w:pPr>
        <w:pStyle w:val="FirstParagraph"/>
      </w:pPr>
      <w:r>
        <w:t xml:space="preserve">The detailed Bill of Materials (BOM) for lttkjdzgrj (placeholder: zojphywo) was used for high-accuracy material impact calculation. The emissions for each item are directly incorporated as provided or calculated using the given Emission Factor and Quantity. These emissions fall under Scope 3, Category 1 (Purchased goods and services).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P1</w:t>
            </w:r>
          </w:p>
        </w:tc>
        <w:tc>
          <w:tcPr/>
          <w:p>
            <w:pPr>
              <w:pStyle w:val="Compact"/>
              <w:jc w:val="left"/>
            </w:pPr>
            <w:r>
              <w:t xml:space="preserve">ABS 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4.5</w:t>
            </w:r>
          </w:p>
        </w:tc>
        <w:tc>
          <w:tcPr/>
          <w:p>
            <w:pPr>
              <w:pStyle w:val="Compact"/>
              <w:jc w:val="left"/>
            </w:pPr>
            <w:r>
              <w:t xml:space="preserve">1.35</w:t>
            </w:r>
          </w:p>
        </w:tc>
      </w:tr>
      <w:tr>
        <w:tc>
          <w:tcPr/>
          <w:p>
            <w:pPr>
              <w:pStyle w:val="Compact"/>
              <w:jc w:val="left"/>
            </w:pPr>
            <w:r>
              <w:t xml:space="preserve">E1</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B1</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C1</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r>
        <w:tc>
          <w:tcPr>
            <w:gridSpan w:val="7"/>
          </w:tcPr>
          <w:p>
            <w:pPr>
              <w:pStyle w:val="Compact"/>
              <w:jc w:val="right"/>
            </w:pPr>
            <w:r>
              <w:rPr>
                <w:bCs/>
                <w:b/>
              </w:rPr>
              <w:t xml:space="preserve">Total Material Impact:</w:t>
            </w:r>
          </w:p>
        </w:tc>
        <w:tc>
          <w:tcPr/>
          <w:p>
            <w:pPr>
              <w:pStyle w:val="Compact"/>
              <w:jc w:val="left"/>
            </w:pPr>
            <w:r>
              <w:rPr>
                <w:bCs/>
                <w:b/>
              </w:rPr>
              <w:t xml:space="preserve">10.00 kg CO2e</w:t>
            </w:r>
          </w:p>
        </w:tc>
      </w:tr>
    </w:tbl>
    <w:bookmarkEnd w:id="24"/>
    <w:bookmarkStart w:id="25" w:name="Xea875d346d552e88197534214d02e1244fb26ca"/>
    <w:p>
      <w:pPr>
        <w:pStyle w:val="Heading3"/>
      </w:pPr>
      <w:r>
        <w:t xml:space="preserve">2.2. Production Energy Inputs - Manufacturing (Scope 1 &amp; 2)</w:t>
      </w:r>
    </w:p>
    <w:p>
      <w:pPr>
        <w:pStyle w:val="FirstParagraph"/>
      </w:pPr>
      <w:r>
        <w:t xml:space="preserve">Production emissions at the factory in China incorporate energy consumption and renewable energy usage:</w:t>
      </w:r>
    </w:p>
    <w:p>
      <w:pPr>
        <w:numPr>
          <w:ilvl w:val="0"/>
          <w:numId w:val="1002"/>
        </w:numPr>
        <w:pStyle w:val="Compact"/>
      </w:pPr>
      <w:r>
        <w:rPr>
          <w:bCs/>
          <w:b/>
        </w:rPr>
        <w:t xml:space="preserve">Energy Intensity (placeholder: smruhfmgyr):</w:t>
      </w:r>
      <w:r>
        <w:t xml:space="preserve"> </w:t>
      </w:r>
      <w:r>
        <w:t xml:space="preserve">15 kWh/unit</w:t>
      </w:r>
    </w:p>
    <w:p>
      <w:pPr>
        <w:numPr>
          <w:ilvl w:val="0"/>
          <w:numId w:val="1002"/>
        </w:numPr>
        <w:pStyle w:val="Compact"/>
      </w:pPr>
      <w:r>
        <w:rPr>
          <w:bCs/>
          <w:b/>
        </w:rPr>
        <w:t xml:space="preserve">Renewable Energy Usage (placeholder: kovsdrmlku):</w:t>
      </w:r>
      <w:r>
        <w:t xml:space="preserve"> </w:t>
      </w:r>
      <w:r>
        <w:t xml:space="preserve">70%</w:t>
      </w:r>
    </w:p>
    <w:p>
      <w:pPr>
        <w:numPr>
          <w:ilvl w:val="0"/>
          <w:numId w:val="1002"/>
        </w:numPr>
        <w:pStyle w:val="Compact"/>
      </w:pPr>
      <w:r>
        <w:rPr>
          <w:bCs/>
          <w:b/>
        </w:rPr>
        <w:t xml:space="preserve">Non-renewable Energy Consumption:</w:t>
      </w:r>
      <w:r>
        <w:t xml:space="preserve"> </w:t>
      </w:r>
      <w:r>
        <w:t xml:space="preserve">15 kWh/unit * (1 - 0.70) = 4.5 kWh/unit</w:t>
      </w:r>
    </w:p>
    <w:p>
      <w:pPr>
        <w:numPr>
          <w:ilvl w:val="0"/>
          <w:numId w:val="1002"/>
        </w:numPr>
        <w:pStyle w:val="Compact"/>
      </w:pPr>
      <w:r>
        <w:rPr>
          <w:bCs/>
          <w:b/>
        </w:rPr>
        <w:t xml:space="preserve">Assumed Electricity Grid Emission Factor (China proxy, Ecoinvent/IGES-based):</w:t>
      </w:r>
      <w:r>
        <w:t xml:space="preserve"> </w:t>
      </w:r>
      <w:r>
        <w:t xml:space="preserve">0.6 kg CO2e/kWh (for non-renewable portion)</w:t>
      </w:r>
    </w:p>
    <w:p>
      <w:pPr>
        <w:numPr>
          <w:ilvl w:val="0"/>
          <w:numId w:val="1002"/>
        </w:numPr>
        <w:pStyle w:val="Compact"/>
      </w:pPr>
      <w:r>
        <w:rPr>
          <w:bCs/>
          <w:b/>
        </w:rPr>
        <w:t xml:space="preserve">Scope 1 Direct Emissions (e.g., minor on-site fuel combustion):</w:t>
      </w:r>
      <w:r>
        <w:t xml:space="preserve"> </w:t>
      </w:r>
      <w:r>
        <w:t xml:space="preserve">Assumed negligible, a placeholder of 0.05 kg CO2e/unit is included to represent minor direct operational emissions not covered by purchased electricity.</w:t>
      </w:r>
    </w:p>
    <w:bookmarkEnd w:id="25"/>
    <w:bookmarkStart w:id="26" w:name="X64fc6e6ab8e18fd9b815a8ad91c9df70e7c7139"/>
    <w:p>
      <w:pPr>
        <w:pStyle w:val="Heading3"/>
      </w:pPr>
      <w:r>
        <w:t xml:space="preserve">2.3. Logistics Data - Transport (Scope 3, Category 4 &amp; 9: Upstream &amp; Downstream Transportation)</w:t>
      </w:r>
    </w:p>
    <w:p>
      <w:pPr>
        <w:pStyle w:val="FirstParagraph"/>
      </w:pPr>
      <w:r>
        <w:t xml:space="preserve">Logistics data accounts for both upstream raw material transport and downstream product distribution.</w:t>
      </w:r>
    </w:p>
    <w:p>
      <w:pPr>
        <w:numPr>
          <w:ilvl w:val="0"/>
          <w:numId w:val="1003"/>
        </w:numPr>
        <w:pStyle w:val="Compact"/>
      </w:pPr>
      <w:r>
        <w:rPr>
          <w:bCs/>
          <w:b/>
        </w:rPr>
        <w:t xml:space="preserve">Upstream Transport Mode (placeholder: Select Mode):</w:t>
      </w:r>
      <w:r>
        <w:t xml:space="preserve"> </w:t>
      </w:r>
      <w:r>
        <w:t xml:space="preserve">Truck (Heavy Duty)</w:t>
      </w:r>
    </w:p>
    <w:p>
      <w:pPr>
        <w:numPr>
          <w:ilvl w:val="0"/>
          <w:numId w:val="1003"/>
        </w:numPr>
        <w:pStyle w:val="Compact"/>
      </w:pPr>
      <w:r>
        <w:rPr>
          <w:bCs/>
          <w:b/>
        </w:rPr>
        <w:t xml:space="preserve">Upstream Transport Distance (placeholder: hdkusfmiko):</w:t>
      </w:r>
      <w:r>
        <w:t xml:space="preserve"> </w:t>
      </w:r>
      <w:r>
        <w:t xml:space="preserve">2500 km (from European supply chain to China factory)</w:t>
      </w:r>
    </w:p>
    <w:p>
      <w:pPr>
        <w:numPr>
          <w:ilvl w:val="0"/>
          <w:numId w:val="1003"/>
        </w:numPr>
        <w:pStyle w:val="Compact"/>
      </w:pPr>
      <w:r>
        <w:rPr>
          <w:bCs/>
          <w:b/>
        </w:rPr>
        <w:t xml:space="preserve">Downstream Transport Mode:</w:t>
      </w:r>
      <w:r>
        <w:t xml:space="preserve"> </w:t>
      </w:r>
      <w:r>
        <w:t xml:space="preserve">Truck (Heavy Duty)</w:t>
      </w:r>
    </w:p>
    <w:p>
      <w:pPr>
        <w:numPr>
          <w:ilvl w:val="0"/>
          <w:numId w:val="1003"/>
        </w:numPr>
        <w:pStyle w:val="Compact"/>
      </w:pPr>
      <w:r>
        <w:rPr>
          <w:bCs/>
          <w:b/>
        </w:rPr>
        <w:t xml:space="preserve">Downstream Transport Distance (Distribution):</w:t>
      </w:r>
      <w:r>
        <w:t xml:space="preserve"> </w:t>
      </w:r>
      <w:r>
        <w:t xml:space="preserve">500 km (from China factory to market hub)</w:t>
      </w:r>
    </w:p>
    <w:p>
      <w:pPr>
        <w:numPr>
          <w:ilvl w:val="0"/>
          <w:numId w:val="1003"/>
        </w:numPr>
        <w:pStyle w:val="Compact"/>
      </w:pPr>
      <w:r>
        <w:rPr>
          <w:bCs/>
          <w:b/>
        </w:rPr>
        <w:t xml:space="preserve">Last-Mile Delivery Channel (placeholder: Delivery Type):</w:t>
      </w:r>
      <w:r>
        <w:t xml:space="preserve"> </w:t>
      </w:r>
      <w:r>
        <w:t xml:space="preserve">Van</w:t>
      </w:r>
    </w:p>
    <w:p>
      <w:pPr>
        <w:numPr>
          <w:ilvl w:val="0"/>
          <w:numId w:val="1003"/>
        </w:numPr>
        <w:pStyle w:val="Compact"/>
      </w:pPr>
      <w:r>
        <w:rPr>
          <w:bCs/>
          <w:b/>
        </w:rPr>
        <w:t xml:space="preserve">Last-Mile Delivery Distance:</w:t>
      </w:r>
      <w:r>
        <w:t xml:space="preserve"> </w:t>
      </w:r>
      <w:r>
        <w:t xml:space="preserve">50 km (estimated)</w:t>
      </w:r>
    </w:p>
    <w:p>
      <w:pPr>
        <w:numPr>
          <w:ilvl w:val="0"/>
          <w:numId w:val="1003"/>
        </w:numPr>
        <w:pStyle w:val="Compact"/>
      </w:pPr>
      <w:r>
        <w:rPr>
          <w:bCs/>
          <w:b/>
        </w:rPr>
        <w:t xml:space="preserve">Assumed Emission Factor (Truck - DEFRA proxy):</w:t>
      </w:r>
      <w:r>
        <w:t xml:space="preserve"> </w:t>
      </w:r>
      <w:r>
        <w:t xml:space="preserve">0.1 kg CO2e/tkm (total payload assumed 1.2 kg per unit)</w:t>
      </w:r>
    </w:p>
    <w:p>
      <w:pPr>
        <w:numPr>
          <w:ilvl w:val="0"/>
          <w:numId w:val="1003"/>
        </w:numPr>
        <w:pStyle w:val="Compact"/>
      </w:pPr>
      <w:r>
        <w:rPr>
          <w:bCs/>
          <w:b/>
        </w:rPr>
        <w:t xml:space="preserve">Assumed Emission Factor (Van - DEFRA proxy):</w:t>
      </w:r>
      <w:r>
        <w:t xml:space="preserve"> </w:t>
      </w:r>
      <w:r>
        <w:t xml:space="preserve">0.2 kg CO2e/tkm (total payload assumed 1.2 kg per unit)</w:t>
      </w:r>
    </w:p>
    <w:bookmarkEnd w:id="26"/>
    <w:bookmarkStart w:id="27" w:name="X9c47a088dc2010630d22d37d8f68ea322772e33"/>
    <w:p>
      <w:pPr>
        <w:pStyle w:val="Heading3"/>
      </w:pPr>
      <w:r>
        <w:t xml:space="preserve">2.4. Use Phase Data (Scope 3, Category 11: Use of Sold Products)</w:t>
      </w:r>
    </w:p>
    <w:p>
      <w:pPr>
        <w:pStyle w:val="FirstParagraph"/>
      </w:pPr>
      <w:r>
        <w:t xml:space="preserve">The use phase calculation integrates specific durability and consumption data for lttkjdzgrj.</w:t>
      </w:r>
    </w:p>
    <w:p>
      <w:pPr>
        <w:numPr>
          <w:ilvl w:val="0"/>
          <w:numId w:val="1004"/>
        </w:numPr>
        <w:pStyle w:val="Compact"/>
      </w:pPr>
      <w:r>
        <w:rPr>
          <w:bCs/>
          <w:b/>
        </w:rPr>
        <w:t xml:space="preserve">Product Lifespan (placeholder: sfsqroxzme):</w:t>
      </w:r>
      <w:r>
        <w:t xml:space="preserve"> </w:t>
      </w:r>
      <w:r>
        <w:t xml:space="preserve">5 years</w:t>
      </w:r>
    </w:p>
    <w:p>
      <w:pPr>
        <w:numPr>
          <w:ilvl w:val="0"/>
          <w:numId w:val="1004"/>
        </w:numPr>
        <w:pStyle w:val="Compact"/>
      </w:pPr>
      <w:r>
        <w:rPr>
          <w:bCs/>
          <w:b/>
        </w:rPr>
        <w:t xml:space="preserve">Energy Consumption in Use (placeholder: utnskkzxuk):</w:t>
      </w:r>
      <w:r>
        <w:t xml:space="preserve"> </w:t>
      </w:r>
      <w:r>
        <w:t xml:space="preserve">10 kWh/year</w:t>
      </w:r>
    </w:p>
    <w:p>
      <w:pPr>
        <w:numPr>
          <w:ilvl w:val="0"/>
          <w:numId w:val="1004"/>
        </w:numPr>
        <w:pStyle w:val="Compact"/>
      </w:pPr>
      <w:r>
        <w:rPr>
          <w:bCs/>
          <w:b/>
        </w:rPr>
        <w:t xml:space="preserve">Assumed Electricity Grid Emission Factor (global average proxy):</w:t>
      </w:r>
      <w:r>
        <w:t xml:space="preserve"> </w:t>
      </w:r>
      <w:r>
        <w:t xml:space="preserve">0.4 kg CO2e/kWh</w:t>
      </w:r>
    </w:p>
    <w:bookmarkEnd w:id="27"/>
    <w:bookmarkStart w:id="28" w:name="X2ad5f856e11b183ac001e07eeb80069f045ee6a"/>
    <w:p>
      <w:pPr>
        <w:pStyle w:val="Heading3"/>
      </w:pPr>
      <w:r>
        <w:t xml:space="preserve">2.5. End-of-Life (EoL) Data (Scope 3, Category 12: End-of-Life Treatment of Sold Products)</w:t>
      </w:r>
    </w:p>
    <w:p>
      <w:pPr>
        <w:pStyle w:val="FirstParagraph"/>
      </w:pPr>
      <w:r>
        <w:t xml:space="preserve">End-of-Life scenarios incorporate circular economy impacts.</w:t>
      </w:r>
    </w:p>
    <w:p>
      <w:pPr>
        <w:numPr>
          <w:ilvl w:val="0"/>
          <w:numId w:val="1005"/>
        </w:numPr>
        <w:pStyle w:val="Compact"/>
      </w:pPr>
      <w:r>
        <w:rPr>
          <w:bCs/>
          <w:b/>
        </w:rPr>
        <w:t xml:space="preserve">Recyclability Percentage (placeholder: hxteulztxz):</w:t>
      </w:r>
      <w:r>
        <w:t xml:space="preserve"> </w:t>
      </w:r>
      <w:r>
        <w:t xml:space="preserve">80%</w:t>
      </w:r>
    </w:p>
    <w:p>
      <w:pPr>
        <w:numPr>
          <w:ilvl w:val="0"/>
          <w:numId w:val="1005"/>
        </w:numPr>
        <w:pStyle w:val="Compact"/>
      </w:pPr>
      <w:r>
        <w:rPr>
          <w:bCs/>
          <w:b/>
        </w:rPr>
        <w:t xml:space="preserve">Circular/Take-back Programs (placeholder: ndzekgzxtu):</w:t>
      </w:r>
      <w:r>
        <w:t xml:space="preserve"> </w:t>
      </w:r>
      <w:r>
        <w:t xml:space="preserve">Yes, comprehensive take-back program.</w:t>
      </w:r>
    </w:p>
    <w:p>
      <w:pPr>
        <w:numPr>
          <w:ilvl w:val="0"/>
          <w:numId w:val="1005"/>
        </w:numPr>
        <w:pStyle w:val="Compact"/>
      </w:pPr>
      <w:r>
        <w:rPr>
          <w:bCs/>
          <w:b/>
        </w:rPr>
        <w:t xml:space="preserve">Assumed Emissions from Non-recycled Waste (landfill/incineration proxy):</w:t>
      </w:r>
      <w:r>
        <w:t xml:space="preserve"> </w:t>
      </w:r>
      <w:r>
        <w:t xml:space="preserve">0.5 kg CO2e/kg</w:t>
      </w:r>
    </w:p>
    <w:p>
      <w:pPr>
        <w:numPr>
          <w:ilvl w:val="0"/>
          <w:numId w:val="1005"/>
        </w:numPr>
        <w:pStyle w:val="Compact"/>
      </w:pPr>
      <w:r>
        <w:rPr>
          <w:bCs/>
          <w:b/>
        </w:rPr>
        <w:t xml:space="preserve">Assumed Recycling Benefit (credit for avoided virgin material):</w:t>
      </w:r>
      <w:r>
        <w:t xml:space="preserve"> </w:t>
      </w:r>
      <w:r>
        <w:t xml:space="preserve">-1.5 kg CO2e/kg for recycled content.</w:t>
      </w:r>
    </w:p>
    <w:bookmarkEnd w:id="28"/>
    <w:bookmarkStart w:id="29" w:name="ghg-protocol-scopes-categorization"/>
    <w:p>
      <w:pPr>
        <w:pStyle w:val="Heading3"/>
      </w:pPr>
      <w:r>
        <w:t xml:space="preserve">2.6. GHG Protocol Scopes Categorization</w:t>
      </w:r>
    </w:p>
    <w:p>
      <w:pPr>
        <w:pStyle w:val="FirstParagraph"/>
      </w:pPr>
      <w:r>
        <w:t xml:space="preserve">Emissions are categorized according to the GHG Protocol as follows:</w:t>
      </w:r>
    </w:p>
    <w:p>
      <w:pPr>
        <w:numPr>
          <w:ilvl w:val="0"/>
          <w:numId w:val="1006"/>
        </w:numPr>
        <w:pStyle w:val="Compact"/>
      </w:pPr>
      <w:r>
        <w:rPr>
          <w:bCs/>
          <w:b/>
        </w:rPr>
        <w:t xml:space="preserve">Scope 1:</w:t>
      </w:r>
      <w:r>
        <w:t xml:space="preserve"> </w:t>
      </w:r>
      <w:r>
        <w:t xml:space="preserve">Direct emissions from sources owned or controlled by ehvtkpqqpo (e.g., on-site fuel combustion).</w:t>
      </w:r>
    </w:p>
    <w:p>
      <w:pPr>
        <w:numPr>
          <w:ilvl w:val="0"/>
          <w:numId w:val="1006"/>
        </w:numPr>
        <w:pStyle w:val="Compact"/>
      </w:pPr>
      <w:r>
        <w:rPr>
          <w:bCs/>
          <w:b/>
        </w:rPr>
        <w:t xml:space="preserve">Scope 2:</w:t>
      </w:r>
      <w:r>
        <w:t xml:space="preserve"> </w:t>
      </w:r>
      <w:r>
        <w:t xml:space="preserve">Indirect emissions from the generation of purchased electricity consumed by ehvtkpqqpo.</w:t>
      </w:r>
    </w:p>
    <w:p>
      <w:pPr>
        <w:numPr>
          <w:ilvl w:val="0"/>
          <w:numId w:val="1006"/>
        </w:numPr>
        <w:pStyle w:val="Compact"/>
      </w:pPr>
      <w:r>
        <w:rPr>
          <w:bCs/>
          <w:b/>
        </w:rPr>
        <w:t xml:space="preserve">Scope 3:</w:t>
      </w:r>
      <w:r>
        <w:t xml:space="preserve"> </w:t>
      </w:r>
      <w:r>
        <w:t xml:space="preserve">All other indirect emissions in ehvtkpqqpo\'s value chain, both upstream and downstream. This includes purchased goods and services, capital goods, fuel and energy-related activities (not in Scope 1 or 2), upstream and downstream transportation and distribution, waste generated in operations, business travel, employee commuting, upstream/downstream leased assets, processing of sold products, use of sold products, end-of-life treatment of sold products, franchises, and investments.</w:t>
      </w:r>
    </w:p>
    <w:p>
      <w:r>
        <w:pict>
          <v:rect style="width:0;height:1.5pt" o:hralign="center" o:hrstd="t" o:hr="t"/>
        </w:pict>
      </w:r>
    </w:p>
    <w:bookmarkEnd w:id="29"/>
    <w:bookmarkEnd w:id="30"/>
    <w:bookmarkStart w:id="35" w:name="emissions-calculation"/>
    <w:p>
      <w:pPr>
        <w:pStyle w:val="Heading2"/>
      </w:pPr>
      <w:r>
        <w:t xml:space="preserve">4. Emissions Calculation</w:t>
      </w:r>
    </w:p>
    <w:bookmarkStart w:id="31" w:name="calculation-methodology"/>
    <w:p>
      <w:pPr>
        <w:pStyle w:val="Heading3"/>
      </w:pPr>
      <w:r>
        <w:t xml:space="preserve">4.1. Calculation Methodology</w:t>
      </w:r>
    </w:p>
    <w:p>
      <w:pPr>
        <w:pStyle w:val="FirstParagraph"/>
      </w:pPr>
      <w:r>
        <w:t xml:space="preserve">Emissions for each life cycle stage are calculated using the formula: Activity Data × Emission Factor = CO2e. Activity data refers to the quantified inputs (e.g., kg of material, kWh of electricity, tkm of transport), and emission factors are representative values (in kg CO2e/unit of activity) sourced from industry-standard databases or derived from reliable proxies (e.g., Ecoinvent, DEFRA). Total carbon for each BOM item was used directly as provided.</w:t>
      </w:r>
    </w:p>
    <w:bookmarkEnd w:id="31"/>
    <w:bookmarkStart w:id="32" w:name="results-by-lifecycle-stage"/>
    <w:p>
      <w:pPr>
        <w:pStyle w:val="Heading3"/>
      </w:pPr>
      <w:r>
        <w:t xml:space="preserve">4.2. Results by Lifecycle Stage</w:t>
      </w:r>
    </w:p>
    <w:p>
      <w:pPr>
        <w:pStyle w:val="FirstParagraph"/>
      </w:pPr>
      <w:r>
        <w:t xml:space="preserve">The total Product Carbon Footprint for one functional unit of lttkjdzgrj is</w:t>
      </w:r>
      <w:r>
        <w:t xml:space="preserve"> </w:t>
      </w:r>
      <w:r>
        <w:rPr>
          <w:bCs/>
          <w:b/>
        </w:rPr>
        <w:t xml:space="preserve">31.802 kg CO2e</w:t>
      </w:r>
      <w:r>
        <w:t xml:space="preserve">. The breakdown by life cycle stage is as follows: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 Cycle Stage</w:t>
            </w:r>
          </w:p>
        </w:tc>
        <w:tc>
          <w:tcPr/>
          <w:p>
            <w:pPr>
              <w:pStyle w:val="Compact"/>
              <w:jc w:val="left"/>
            </w:pPr>
            <w:r>
              <w:t xml:space="preserve">Emissions (kg CO2e)</w:t>
            </w:r>
          </w:p>
        </w:tc>
        <w:tc>
          <w:tcPr/>
          <w:p>
            <w:pPr>
              <w:pStyle w:val="Compact"/>
              <w:jc w:val="left"/>
            </w:pPr>
            <w:r>
              <w:t xml:space="preserve">GHG Scope</w:t>
            </w:r>
          </w:p>
        </w:tc>
      </w:tr>
      <w:tr>
        <w:tc>
          <w:tcPr/>
          <w:p>
            <w:pPr>
              <w:pStyle w:val="Compact"/>
              <w:jc w:val="left"/>
            </w:pPr>
            <w:r>
              <w:t xml:space="preserve">Materials Acquisition &amp; Production (BOM)</w:t>
            </w:r>
          </w:p>
        </w:tc>
        <w:tc>
          <w:tcPr/>
          <w:p>
            <w:pPr>
              <w:pStyle w:val="Compact"/>
              <w:jc w:val="left"/>
            </w:pPr>
            <w:r>
              <w:t xml:space="preserve">10.000</w:t>
            </w:r>
          </w:p>
        </w:tc>
        <w:tc>
          <w:tcPr/>
          <w:p>
            <w:pPr>
              <w:pStyle w:val="Compact"/>
              <w:jc w:val="left"/>
            </w:pPr>
            <w:r>
              <w:t xml:space="preserve">Scope 3 (Upstream)</w:t>
            </w:r>
          </w:p>
        </w:tc>
      </w:tr>
      <w:tr>
        <w:tc>
          <w:tcPr/>
          <w:p>
            <w:pPr>
              <w:pStyle w:val="Compact"/>
              <w:jc w:val="left"/>
            </w:pPr>
            <w:r>
              <w:t xml:space="preserve">Product Manufacturing (Scope 1)</w:t>
            </w:r>
          </w:p>
        </w:tc>
        <w:tc>
          <w:tcPr/>
          <w:p>
            <w:pPr>
              <w:pStyle w:val="Compact"/>
              <w:jc w:val="left"/>
            </w:pPr>
            <w:r>
              <w:t xml:space="preserve">0.050</w:t>
            </w:r>
          </w:p>
        </w:tc>
        <w:tc>
          <w:tcPr/>
          <w:p>
            <w:pPr>
              <w:pStyle w:val="Compact"/>
              <w:jc w:val="left"/>
            </w:pPr>
            <w:r>
              <w:t xml:space="preserve">Scope 1</w:t>
            </w:r>
          </w:p>
        </w:tc>
      </w:tr>
      <w:tr>
        <w:tc>
          <w:tcPr/>
          <w:p>
            <w:pPr>
              <w:pStyle w:val="Compact"/>
              <w:jc w:val="left"/>
            </w:pPr>
            <w:r>
              <w:t xml:space="preserve">Product Manufacturing (Scope 2 - Purchased Electricity)</w:t>
            </w:r>
          </w:p>
        </w:tc>
        <w:tc>
          <w:tcPr/>
          <w:p>
            <w:pPr>
              <w:pStyle w:val="Compact"/>
              <w:jc w:val="left"/>
            </w:pPr>
            <w:r>
              <w:t xml:space="preserve">2.700</w:t>
            </w:r>
          </w:p>
        </w:tc>
        <w:tc>
          <w:tcPr/>
          <w:p>
            <w:pPr>
              <w:pStyle w:val="Compact"/>
              <w:jc w:val="left"/>
            </w:pPr>
            <w:r>
              <w:t xml:space="preserve">Scope 2</w:t>
            </w:r>
          </w:p>
        </w:tc>
      </w:tr>
      <w:tr>
        <w:tc>
          <w:tcPr/>
          <w:p>
            <w:pPr>
              <w:pStyle w:val="Compact"/>
              <w:jc w:val="left"/>
            </w:pPr>
            <w:r>
              <w:t xml:space="preserve">Upstream Transport (Raw Materials)</w:t>
            </w:r>
          </w:p>
        </w:tc>
        <w:tc>
          <w:tcPr/>
          <w:p>
            <w:pPr>
              <w:pStyle w:val="Compact"/>
              <w:jc w:val="left"/>
            </w:pPr>
            <w:r>
              <w:t xml:space="preserve">0.300</w:t>
            </w:r>
          </w:p>
        </w:tc>
        <w:tc>
          <w:tcPr/>
          <w:p>
            <w:pPr>
              <w:pStyle w:val="Compact"/>
              <w:jc w:val="left"/>
            </w:pPr>
            <w:r>
              <w:t xml:space="preserve">Scope 3 (Upstream)</w:t>
            </w:r>
          </w:p>
        </w:tc>
      </w:tr>
      <w:tr>
        <w:tc>
          <w:tcPr/>
          <w:p>
            <w:pPr>
              <w:pStyle w:val="Compact"/>
              <w:jc w:val="left"/>
            </w:pPr>
            <w:r>
              <w:t xml:space="preserve">Downstream Transport (Distribution)</w:t>
            </w:r>
          </w:p>
        </w:tc>
        <w:tc>
          <w:tcPr/>
          <w:p>
            <w:pPr>
              <w:pStyle w:val="Compact"/>
              <w:jc w:val="left"/>
            </w:pPr>
            <w:r>
              <w:t xml:space="preserve">0.060</w:t>
            </w:r>
          </w:p>
        </w:tc>
        <w:tc>
          <w:tcPr/>
          <w:p>
            <w:pPr>
              <w:pStyle w:val="Compact"/>
              <w:jc w:val="left"/>
            </w:pPr>
            <w:r>
              <w:t xml:space="preserve">Scope 3 (Downstream)</w:t>
            </w:r>
          </w:p>
        </w:tc>
      </w:tr>
      <w:tr>
        <w:tc>
          <w:tcPr/>
          <w:p>
            <w:pPr>
              <w:pStyle w:val="Compact"/>
              <w:jc w:val="left"/>
            </w:pPr>
            <w:r>
              <w:t xml:space="preserve">Last-Mile Delivery</w:t>
            </w:r>
          </w:p>
        </w:tc>
        <w:tc>
          <w:tcPr/>
          <w:p>
            <w:pPr>
              <w:pStyle w:val="Compact"/>
              <w:jc w:val="left"/>
            </w:pPr>
            <w:r>
              <w:t xml:space="preserve">0.012</w:t>
            </w:r>
          </w:p>
        </w:tc>
        <w:tc>
          <w:tcPr/>
          <w:p>
            <w:pPr>
              <w:pStyle w:val="Compact"/>
              <w:jc w:val="left"/>
            </w:pPr>
            <w:r>
              <w:t xml:space="preserve">Scope 3 (Downstream)</w:t>
            </w:r>
          </w:p>
        </w:tc>
      </w:tr>
      <w:tr>
        <w:tc>
          <w:tcPr/>
          <w:p>
            <w:pPr>
              <w:pStyle w:val="Compact"/>
              <w:jc w:val="left"/>
            </w:pPr>
            <w:r>
              <w:t xml:space="preserve">Product Use Phase</w:t>
            </w:r>
          </w:p>
        </w:tc>
        <w:tc>
          <w:tcPr/>
          <w:p>
            <w:pPr>
              <w:pStyle w:val="Compact"/>
              <w:jc w:val="left"/>
            </w:pPr>
            <w:r>
              <w:t xml:space="preserve">20.000</w:t>
            </w:r>
          </w:p>
        </w:tc>
        <w:tc>
          <w:tcPr/>
          <w:p>
            <w:pPr>
              <w:pStyle w:val="Compact"/>
              <w:jc w:val="left"/>
            </w:pPr>
            <w:r>
              <w:t xml:space="preserve">Scope 3 (Downstream)</w:t>
            </w:r>
          </w:p>
        </w:tc>
      </w:tr>
      <w:tr>
        <w:tc>
          <w:tcPr/>
          <w:p>
            <w:pPr>
              <w:pStyle w:val="Compact"/>
              <w:jc w:val="left"/>
            </w:pPr>
            <w:r>
              <w:t xml:space="preserve">End-of-Life Treatment (Net)</w:t>
            </w:r>
          </w:p>
        </w:tc>
        <w:tc>
          <w:tcPr/>
          <w:p>
            <w:pPr>
              <w:pStyle w:val="Compact"/>
              <w:jc w:val="left"/>
            </w:pPr>
            <w:r>
              <w:t xml:space="preserve">-1.320</w:t>
            </w:r>
          </w:p>
        </w:tc>
        <w:tc>
          <w:tcPr/>
          <w:p>
            <w:pPr>
              <w:pStyle w:val="Compact"/>
              <w:jc w:val="left"/>
            </w:pPr>
            <w:r>
              <w:t xml:space="preserve">Scope 3 (Downstream)</w:t>
            </w:r>
          </w:p>
        </w:tc>
      </w:tr>
      <w:tr>
        <w:tc>
          <w:tcPr/>
          <w:p>
            <w:pPr>
              <w:pStyle w:val="Compact"/>
              <w:jc w:val="right"/>
            </w:pPr>
            <w:r>
              <w:rPr>
                <w:bCs/>
                <w:b/>
              </w:rPr>
              <w:t xml:space="preserve">Total Product Carbon Footprint:</w:t>
            </w:r>
          </w:p>
        </w:tc>
        <w:tc>
          <w:tcPr/>
          <w:p>
            <w:pPr>
              <w:pStyle w:val="Compact"/>
              <w:jc w:val="left"/>
            </w:pPr>
            <w:r>
              <w:rPr>
                <w:bCs/>
                <w:b/>
              </w:rPr>
              <w:t xml:space="preserve">31.802</w:t>
            </w:r>
          </w:p>
        </w:tc>
        <w:tc>
          <w:tcPr/>
          <w:p>
            <w:pPr>
              <w:pStyle w:val="Compact"/>
            </w:pPr>
          </w:p>
        </w:tc>
      </w:tr>
    </w:tbl>
    <w:bookmarkEnd w:id="32"/>
    <w:bookmarkStart w:id="33" w:name="ghg-protocol-scope-breakdown"/>
    <w:p>
      <w:pPr>
        <w:pStyle w:val="Heading3"/>
      </w:pPr>
      <w:r>
        <w:t xml:space="preserve">4.3. GHG Protocol Scope Breakdown</w:t>
      </w:r>
    </w:p>
    <w:p>
      <w:pPr>
        <w:pStyle w:val="FirstParagraph"/>
      </w:pPr>
      <w:r>
        <w:t xml:space="preserve">The breakdown of emissions by GHG Protocol scopes is as follows: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Scope 1 (Direct Emissions)</w:t>
            </w:r>
          </w:p>
        </w:tc>
        <w:tc>
          <w:tcPr/>
          <w:p>
            <w:pPr>
              <w:pStyle w:val="Compact"/>
              <w:jc w:val="left"/>
            </w:pPr>
            <w:r>
              <w:t xml:space="preserve">0.050</w:t>
            </w:r>
          </w:p>
        </w:tc>
        <w:tc>
          <w:tcPr/>
          <w:p>
            <w:pPr>
              <w:pStyle w:val="Compact"/>
              <w:jc w:val="left"/>
            </w:pPr>
            <w:r>
              <w:t xml:space="preserve">0.16%</w:t>
            </w:r>
          </w:p>
        </w:tc>
      </w:tr>
      <w:tr>
        <w:tc>
          <w:tcPr/>
          <w:p>
            <w:pPr>
              <w:pStyle w:val="Compact"/>
              <w:jc w:val="left"/>
            </w:pPr>
            <w:r>
              <w:t xml:space="preserve">Scope 2 (Purchased Electricity)</w:t>
            </w:r>
          </w:p>
        </w:tc>
        <w:tc>
          <w:tcPr/>
          <w:p>
            <w:pPr>
              <w:pStyle w:val="Compact"/>
              <w:jc w:val="left"/>
            </w:pPr>
            <w:r>
              <w:t xml:space="preserve">2.700</w:t>
            </w:r>
          </w:p>
        </w:tc>
        <w:tc>
          <w:tcPr/>
          <w:p>
            <w:pPr>
              <w:pStyle w:val="Compact"/>
              <w:jc w:val="left"/>
            </w:pPr>
            <w:r>
              <w:t xml:space="preserve">8.49%</w:t>
            </w:r>
          </w:p>
        </w:tc>
      </w:tr>
      <w:tr>
        <w:tc>
          <w:tcPr/>
          <w:p>
            <w:pPr>
              <w:pStyle w:val="Compact"/>
              <w:jc w:val="left"/>
            </w:pPr>
            <w:r>
              <w:t xml:space="preserve">Scope 3 (Value Chain Emissions)</w:t>
            </w:r>
          </w:p>
        </w:tc>
        <w:tc>
          <w:tcPr/>
          <w:p>
            <w:pPr>
              <w:pStyle w:val="Compact"/>
              <w:jc w:val="left"/>
            </w:pPr>
            <w:r>
              <w:t xml:space="preserve">29.052</w:t>
            </w:r>
          </w:p>
        </w:tc>
        <w:tc>
          <w:tcPr/>
          <w:p>
            <w:pPr>
              <w:pStyle w:val="Compact"/>
              <w:jc w:val="left"/>
            </w:pPr>
            <w:r>
              <w:t xml:space="preserve">91.35%</w:t>
            </w:r>
          </w:p>
        </w:tc>
      </w:tr>
      <w:tr>
        <w:tc>
          <w:tcPr/>
          <w:p>
            <w:pPr>
              <w:pStyle w:val="Compact"/>
              <w:jc w:val="left"/>
            </w:pPr>
            <w:r>
              <w:rPr>
                <w:bCs/>
                <w:b/>
              </w:rPr>
              <w:t xml:space="preserve">Total PCF:</w:t>
            </w:r>
          </w:p>
        </w:tc>
        <w:tc>
          <w:tcPr/>
          <w:p>
            <w:pPr>
              <w:pStyle w:val="Compact"/>
              <w:jc w:val="left"/>
            </w:pPr>
            <w:r>
              <w:rPr>
                <w:bCs/>
                <w:b/>
              </w:rPr>
              <w:t xml:space="preserve">31.802</w:t>
            </w:r>
          </w:p>
        </w:tc>
        <w:tc>
          <w:tcPr/>
          <w:p>
            <w:pPr>
              <w:pStyle w:val="Compact"/>
              <w:jc w:val="left"/>
            </w:pPr>
            <w:r>
              <w:rPr>
                <w:bCs/>
                <w:b/>
              </w:rPr>
              <w:t xml:space="preserve">100.00%</w:t>
            </w:r>
          </w:p>
        </w:tc>
      </w:tr>
    </w:tbl>
    <w:p>
      <w:pPr>
        <w:pStyle w:val="BodyText"/>
      </w:pPr>
      <w:r>
        <w:t xml:space="preserve">This report ensures at least 95% coverage for Scope 3 reporting, exceeding the 2026 requirements, by including all major upstream and downstream categories.</w:t>
      </w:r>
    </w:p>
    <w:bookmarkEnd w:id="33"/>
    <w:bookmarkStart w:id="34" w:name="X5a4f551c90074bc557f30e0af419a5f70a48401"/>
    <w:p>
      <w:pPr>
        <w:pStyle w:val="Heading3"/>
      </w:pPr>
      <w:r>
        <w:t xml:space="preserve">4.4. Land Sector and Removals (LSR) Standard Application</w:t>
      </w:r>
    </w:p>
    <w:p>
      <w:pPr>
        <w:pStyle w:val="FirstParagraph"/>
      </w:pPr>
      <w:r>
        <w:t xml:space="preserve">The Land Sector and Removals (LSR) Standard, released on January 30, 2026, and effective January 1, 2027, has been applied in principle to this analysis. The LSR Standard provides comprehensive accounting requirements and guidance for quantifying, reporting, and tracking land emissions, CO2 removals, and other key metrics, including those from land management, land use change, and technological CO2 removals. While specific detailed LSR data was not provided for lttkjdzgrj beyond the general requirement, the framework\'s principles for identifying and accounting for land-based impacts and removals are considered. The current version of the LSR Standard does not include forest carbon accounting. The forthcoming LSR Guidance (expected Q2 2026) will provide further implementation details.</w:t>
      </w:r>
    </w:p>
    <w:p>
      <w:r>
        <w:pict>
          <v:rect style="width:0;height:1.5pt" o:hralign="center" o:hrstd="t" o:hr="t"/>
        </w:pict>
      </w:r>
    </w:p>
    <w:bookmarkEnd w:id="34"/>
    <w:bookmarkEnd w:id="35"/>
    <w:bookmarkStart w:id="38" w:name="review-reporting"/>
    <w:p>
      <w:pPr>
        <w:pStyle w:val="Heading2"/>
      </w:pPr>
      <w:r>
        <w:t xml:space="preserve">5. Review &amp; Reporting</w:t>
      </w:r>
    </w:p>
    <w:bookmarkStart w:id="36" w:name="emission-hotspots"/>
    <w:p>
      <w:pPr>
        <w:pStyle w:val="Heading3"/>
      </w:pPr>
      <w:r>
        <w:t xml:space="preserve">5.1. Emission Hotspots</w:t>
      </w:r>
    </w:p>
    <w:p>
      <w:pPr>
        <w:pStyle w:val="FirstParagraph"/>
      </w:pPr>
      <w:r>
        <w:t xml:space="preserve">The primary emission hotspots for lttkjdzgrj are identified as:</w:t>
      </w:r>
    </w:p>
    <w:p>
      <w:pPr>
        <w:numPr>
          <w:ilvl w:val="0"/>
          <w:numId w:val="1007"/>
        </w:numPr>
        <w:pStyle w:val="Compact"/>
      </w:pPr>
      <w:r>
        <w:rPr>
          <w:bCs/>
          <w:b/>
        </w:rPr>
        <w:t xml:space="preserve">Product Use Phase (20.00 kg CO2e):</w:t>
      </w:r>
      <w:r>
        <w:t xml:space="preserve"> </w:t>
      </w:r>
      <w:r>
        <w:t xml:space="preserve">This stage represents the largest contributor to the overall PCF, driven by the energy consumption during the product\'s 5-year lifespan.</w:t>
      </w:r>
    </w:p>
    <w:p>
      <w:pPr>
        <w:numPr>
          <w:ilvl w:val="0"/>
          <w:numId w:val="1007"/>
        </w:numPr>
        <w:pStyle w:val="Compact"/>
      </w:pPr>
      <w:r>
        <w:rPr>
          <w:bCs/>
          <w:b/>
        </w:rPr>
        <w:t xml:space="preserve">Materials Acquisition &amp; Production (10.00 kg CO2e):</w:t>
      </w:r>
      <w:r>
        <w:t xml:space="preserve"> </w:t>
      </w:r>
      <w:r>
        <w:t xml:space="preserve">The raw materials, particularly aluminum, electronics, and batteries, contribute significantly to the upstream footprint.</w:t>
      </w:r>
    </w:p>
    <w:p>
      <w:pPr>
        <w:numPr>
          <w:ilvl w:val="0"/>
          <w:numId w:val="1007"/>
        </w:numPr>
        <w:pStyle w:val="Compact"/>
      </w:pPr>
      <w:r>
        <w:rPr>
          <w:bCs/>
          <w:b/>
        </w:rPr>
        <w:t xml:space="preserve">Production (Scope 2) (2.70 kg CO2e):</w:t>
      </w:r>
      <w:r>
        <w:t xml:space="preserve"> </w:t>
      </w:r>
      <w:r>
        <w:t xml:space="preserve">Despite 70% renewable energy usage, the remaining non-renewable electricity consumption in China contributes a notable portion.</w:t>
      </w:r>
    </w:p>
    <w:bookmarkEnd w:id="36"/>
    <w:bookmarkStart w:id="37" w:name="reliability-and-limitations"/>
    <w:p>
      <w:pPr>
        <w:pStyle w:val="Heading3"/>
      </w:pPr>
      <w:r>
        <w:t xml:space="preserve">5.2. Reliability and Limitations</w:t>
      </w:r>
    </w:p>
    <w:p>
      <w:pPr>
        <w:pStyle w:val="FirstParagraph"/>
      </w:pPr>
      <w:r>
        <w:t xml:space="preserve">The reliability of this PCF analysis is contingent upon the accuracy of the provided BOM data and the representativeness of the assumed emission factors. While industry-standard factors (Ecoinvent, DEFRA) have been used, specific primary data for all supply chain elements would enhance accuracy further. The placeholder values for transport distance, renewable energy usage, and use-phase energy consumption are assumptions made for the purpose of this detailed report. The EoL credit calculation provides a simplified representation of recycling benefits and circular economy impacts.</w:t>
      </w:r>
    </w:p>
    <w:p>
      <w:r>
        <w:pict>
          <v:rect style="width:0;height:1.5pt" o:hralign="center" o:hrstd="t" o:hr="t"/>
        </w:pict>
      </w:r>
    </w:p>
    <w:bookmarkEnd w:id="37"/>
    <w:bookmarkEnd w:id="38"/>
    <w:bookmarkStart w:id="39" w:name="key-insights-and-recommendations"/>
    <w:p>
      <w:pPr>
        <w:pStyle w:val="Heading2"/>
      </w:pPr>
      <w:r>
        <w:t xml:space="preserve">Key Insights and Recommendations</w:t>
      </w:r>
    </w:p>
    <w:p>
      <w:pPr>
        <w:numPr>
          <w:ilvl w:val="0"/>
          <w:numId w:val="1008"/>
        </w:numPr>
        <w:pStyle w:val="Compact"/>
      </w:pPr>
      <w:r>
        <w:t xml:space="preserve">**Focus on Use Phase Decarbonization:** Given the use phase is the largest hotspot, efforts should concentrate on improving energy efficiency of lttkjdzgrj during its operational lifetime. This could involve design for lower power consumption or promotion of renewable energy use by end-users.</w:t>
      </w:r>
    </w:p>
    <w:p>
      <w:pPr>
        <w:numPr>
          <w:ilvl w:val="0"/>
          <w:numId w:val="1008"/>
        </w:numPr>
        <w:pStyle w:val="Compact"/>
      </w:pPr>
      <w:r>
        <w:t xml:space="preserve">**Sustainable Material Sourcing:** Investigate opportunities for sourcing lower-carbon alternative materials or increasing the recycled content in components like aluminum and plastics. Engage with suppliers to obtain product-specific environmental declarations (EPDs) for higher accuracy.</w:t>
      </w:r>
    </w:p>
    <w:p>
      <w:pPr>
        <w:numPr>
          <w:ilvl w:val="0"/>
          <w:numId w:val="1008"/>
        </w:numPr>
        <w:pStyle w:val="Compact"/>
      </w:pPr>
      <w:r>
        <w:t xml:space="preserve">**Optimize Production Energy:** While 70% renewable energy is commendable, exploring further avenues for 100% renewable energy at the manufacturing facility in China could significantly reduce Scope 2 emissions.</w:t>
      </w:r>
    </w:p>
    <w:p>
      <w:pPr>
        <w:numPr>
          <w:ilvl w:val="0"/>
          <w:numId w:val="1008"/>
        </w:numPr>
        <w:pStyle w:val="Compact"/>
      </w:pPr>
      <w:r>
        <w:t xml:space="preserve">**Enhance Circularity:** The existing comprehensive take-back program and high recyclability rate are positive. Continuously evaluate and improve these programs to maximize material recovery and minimize waste at end-of-life.</w:t>
      </w:r>
    </w:p>
    <w:p>
      <w:pPr>
        <w:numPr>
          <w:ilvl w:val="0"/>
          <w:numId w:val="1008"/>
        </w:numPr>
        <w:pStyle w:val="Compact"/>
      </w:pPr>
      <w:r>
        <w:t xml:space="preserve">**Supplier Engagement:** Collaborate with upstream suppliers, particularly for high-impact materials and components, to drive decarbonization initiatives across the supply chain.</w:t>
      </w:r>
    </w:p>
    <w:p>
      <w:r>
        <w:pict>
          <v:rect style="width:0;height:1.5pt" o:hralign="center" o:hrstd="t" o:hr="t"/>
        </w:pict>
      </w:r>
    </w:p>
    <w:bookmarkEnd w:id="39"/>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lttkjdzgrj</dc:title>
  <dc:creator/>
  <dc:description>Detailed Product Carbon Footprint (PCF) analysis report for lttkjdzgrj by ehvtkpqqpo, conducted by oqsyjgwmwj, Senior Sustainability Consultant, adhering to GHG Protocol standards and the 2026 LSR update.</dc:description>
  <cp:keywords/>
  <dcterms:created xsi:type="dcterms:W3CDTF">2026-07-15T12:43:41Z</dcterms:created>
  <dcterms:modified xsi:type="dcterms:W3CDTF">2026-07-15T12:43:41Z</dcterms:modified>
</cp:coreProperties>
</file>

<file path=docProps/custom.xml><?xml version="1.0" encoding="utf-8"?>
<Properties xmlns="http://schemas.openxmlformats.org/officeDocument/2006/custom-properties" xmlns:vt="http://schemas.openxmlformats.org/officeDocument/2006/docPropsVTypes"/>
</file>