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ltppxynvhw</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ltppxynvhw"/>
    <w:p>
      <w:pPr>
        <w:pStyle w:val="Heading2"/>
      </w:pPr>
      <w:r>
        <w:t xml:space="preserve">Product: ltppxynvhw</w:t>
      </w:r>
    </w:p>
    <w:p>
      <w:pPr>
        <w:pStyle w:val="FirstParagraph"/>
      </w:pPr>
      <w:r>
        <w:t xml:space="preserve">**Company Name:** kntwzjmvyn</w:t>
      </w:r>
    </w:p>
    <w:p>
      <w:pPr>
        <w:pStyle w:val="BodyText"/>
      </w:pPr>
      <w:r>
        <w:t xml:space="preserve">**Accounting Standard:** GHG Protocol</w:t>
      </w:r>
    </w:p>
    <w:p>
      <w:pPr>
        <w:pStyle w:val="BodyText"/>
      </w:pPr>
      <w:r>
        <w:t xml:space="preserve">**Senior Sustainability Consultant:** uvvrzhuwdr</w:t>
      </w:r>
    </w:p>
    <w:p>
      <w:pPr>
        <w:pStyle w:val="BodyText"/>
      </w:pPr>
      <w:r>
        <w:t xml:space="preserve">*Disclaimer: This report is generated based on available data and industry standards. While every effort has been made to ensure accuracy, the quantitative results are illustrative where specific numerical inputs were provided as placeholders. Actual carbon footprint calculations require precise, verifiable primary data.*</w:t>
      </w:r>
    </w:p>
    <w:bookmarkEnd w:id="20"/>
    <w:bookmarkEnd w:id="21"/>
    <w:p>
      <w:r>
        <w:pict>
          <v:rect style="width:0;height:1.5pt" o:hralign="center" o:hrstd="t" o:hr="t"/>
        </w:pict>
      </w:r>
    </w:p>
    <w:bookmarkStart w:id="48"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June 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ltppxynvhw</w:t>
      </w:r>
      <w:r>
        <w:t xml:space="preserve"> </w:t>
      </w:r>
      <w:r>
        <w:t xml:space="preserve">manufactured by</w:t>
      </w:r>
      <w:r>
        <w:t xml:space="preserve"> </w:t>
      </w:r>
      <w:r>
        <w:rPr>
          <w:bCs/>
          <w:b/>
        </w:rPr>
        <w:t xml:space="preserve">kntwzjmvyn</w:t>
      </w:r>
      <w:r>
        <w:t xml:space="preserve">, performed by Senior Sustainability Consultant</w:t>
      </w:r>
      <w:r>
        <w:t xml:space="preserve"> </w:t>
      </w:r>
      <w:r>
        <w:rPr>
          <w:bCs/>
          <w:b/>
        </w:rPr>
        <w:t xml:space="preserve">uvvrzhuwdr</w:t>
      </w:r>
      <w:r>
        <w:t xml:space="preserve">. The analysis adheres strictly to the GHG Protocol accounting standard, incorporating the latest 2026 Land Sector and Removals (LSR) Standard updates and aiming for over 95% Scope 3 coverage. The PCF quantifies the total greenhouse gas (GHG) emissions associated with the product\'s entire lifecycle, from raw material extraction to end-of-life, expressed in kilograms of carbon dioxide equivalent (kgCO2e) per functional unit (1.0 unit).</w:t>
      </w:r>
    </w:p>
    <w:p>
      <w:pPr>
        <w:pStyle w:val="BodyText"/>
      </w:pPr>
      <w:r>
        <w:t xml:space="preserve">Key areas of investigation include material acquisition and pre-processing, manufacturing, transportation, the use phase, and end-of-life scenarios, providing kntwzjmvyn with critical insights into emission hotspots and opportunities for reduction. Due to the placeholder nature of some input parameters, illustrative data has been used to demonstrate the calculation methodology, clearly indicating where real data would be applied in a complete analysis.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step in any PCF analysis is to clearly define the scope, ensuring consistency and comparability of results.</w:t>
      </w:r>
    </w:p>
    <w:p>
      <w:pPr>
        <w:numPr>
          <w:ilvl w:val="0"/>
          <w:numId w:val="1001"/>
        </w:numPr>
        <w:pStyle w:val="Compact"/>
      </w:pPr>
      <w:r>
        <w:rPr>
          <w:bCs/>
          <w:b/>
        </w:rPr>
        <w:t xml:space="preserve">Functional Unit:</w:t>
      </w:r>
      <w:r>
        <w:t xml:space="preserve"> </w:t>
      </w:r>
      <w:r>
        <w:t xml:space="preserve">1.0 unit of ltppxynvhw. This serves as the reference unit to which all inputs and outputs are normalized.</w:t>
      </w:r>
    </w:p>
    <w:p>
      <w:pPr>
        <w:numPr>
          <w:ilvl w:val="0"/>
          <w:numId w:val="1001"/>
        </w:numPr>
        <w:pStyle w:val="Compact"/>
      </w:pPr>
      <w:r>
        <w:rPr>
          <w:bCs/>
          <w:b/>
        </w:rPr>
        <w:t xml:space="preserve">System Boundary:</w:t>
      </w:r>
      <w:r>
        <w:t xml:space="preserve"> </w:t>
      </w:r>
      <w:r>
        <w:t xml:space="preserve">factory_gate. This cradle-to-gate-plus-use-and-end-of-life approach covers all stages from raw material extraction, processing, manufacturing, distribution, the product\'s use phase, and its end-of-life treatment. Emissions are categorized into Scope 1 (direct emissions), Scope 2 (purchased energy), and Scope 3 (value chain emissions) as per the GHG Protocol.</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Emissions are allocated based on physical causality where possible. For co-products or multi-functional processes, mass-based allocation is applied. For end-of-life scenarios, the "avoided burden" approach is used for recyclable materials.</w:t>
      </w:r>
    </w:p>
    <w:p>
      <w:pPr>
        <w:numPr>
          <w:ilvl w:val="0"/>
          <w:numId w:val="1001"/>
        </w:numPr>
        <w:pStyle w:val="Compact"/>
      </w:pPr>
      <w:r>
        <w:rPr>
          <w:bCs/>
          <w:b/>
        </w:rPr>
        <w:t xml:space="preserve">Accounting Standard:</w:t>
      </w:r>
      <w:r>
        <w:t xml:space="preserve"> </w:t>
      </w:r>
      <w:r>
        <w:t xml:space="preserve">This PCF analysis strictly adheres to the GHG Protocol, specifically the Product Standard, and considers the Corporate Value Chain (Scope 3) Accounting and Reporting Standard. This includes the application of the 2026 Land Sector and Removals (LSR) Standard for land use and carbon removals, where applicable, and ensuring at least 95% coverage for Scope 3 reporting as per 2026 requirements.</w:t>
      </w:r>
    </w:p>
    <w:p>
      <w:r>
        <w:pict>
          <v:rect style="width:0;height:1.5pt" o:hralign="center" o:hrstd="t" o:hr="t"/>
        </w:pict>
      </w:r>
    </w:p>
    <w:bookmarkEnd w:id="23"/>
    <w:bookmarkStart w:id="30" w:name="X1c2b8334d48e66654b55f84164e32fa266cf112"/>
    <w:p>
      <w:pPr>
        <w:pStyle w:val="Heading2"/>
      </w:pPr>
      <w:r>
        <w:t xml:space="preserve">2. Mapping the Lifecycle (LCI Inventory Stages) &amp; 3. Collecting Data</w:t>
      </w:r>
    </w:p>
    <w:p>
      <w:pPr>
        <w:pStyle w:val="FirstParagraph"/>
      </w:pPr>
      <w:r>
        <w:t xml:space="preserve">This section details the product\'s lifecycle stages and the data inputs required for each. The provided detailed Bill of Materials (BOM) for</w:t>
      </w:r>
      <w:r>
        <w:t xml:space="preserve"> </w:t>
      </w:r>
      <w:r>
        <w:rPr>
          <w:bCs/>
          <w:b/>
        </w:rPr>
        <w:t xml:space="preserve">pueuiiuu</w:t>
      </w:r>
      <w:r>
        <w:t xml:space="preserve"> </w:t>
      </w:r>
      <w:r>
        <w:t xml:space="preserve">and other specific parameters are integrated into this analysis. Industry-standard emission factors, such as those from Ecoinvent and DEFRA, would typically be used for comprehensive data gaps, which provide a rich pool of secondary data, including regional or global average GHG emission factors, and cover a wide range of activities including energy, transportation, and materials. The 2025 DEFRA factors, for example, have been released and cover various emission sources, often applied across European sites. Ecoinvent\'s database is regularly updated to reflect recent energy mixes and policies, with version 3.10 including updates to 2020/2021 data for countries like China.</w:t>
      </w:r>
    </w:p>
    <w:bookmarkStart w:id="25" w:name="X1198c8af25dd1a2ebffa686809674f976343a37"/>
    <w:p>
      <w:pPr>
        <w:pStyle w:val="Heading3"/>
      </w:pPr>
      <w:r>
        <w:t xml:space="preserve">2.1. Material Acquisition &amp; Pre-processing (Scope 3 - Upstream)</w:t>
      </w:r>
    </w:p>
    <w:p>
      <w:pPr>
        <w:pStyle w:val="FirstParagraph"/>
      </w:pPr>
      <w:r>
        <w:t xml:space="preserve">The Bill of Materials (BOM) for</w:t>
      </w:r>
      <w:r>
        <w:t xml:space="preserve"> </w:t>
      </w:r>
      <w:r>
        <w:rPr>
          <w:bCs/>
          <w:b/>
        </w:rPr>
        <w:t xml:space="preserve">pueuiiuu</w:t>
      </w:r>
      <w:r>
        <w:t xml:space="preserve"> </w:t>
      </w:r>
      <w:r>
        <w:t xml:space="preserve">details the components and raw materials for the product</w:t>
      </w:r>
      <w:r>
        <w:t xml:space="preserve"> </w:t>
      </w:r>
      <w:r>
        <w:rPr>
          <w:bCs/>
          <w:b/>
        </w:rPr>
        <w:t xml:space="preserve">ltppxynvhw</w:t>
      </w:r>
      <w:r>
        <w:t xml:space="preserve">. The \'Emission Factor\' and \'Total Carbon\' values provided in the BOM are directly used for calculating material impacts.</w:t>
      </w:r>
    </w:p>
    <w:bookmarkStart w:id="24" w:name="Xff0336e0f092dfac7374b661e3cc0c02cdb52cf"/>
    <w:p>
      <w:pPr>
        <w:pStyle w:val="Heading4"/>
      </w:pPr>
      <w:r>
        <w:t xml:space="preserve">Detailed Bill of Materials (BOM) - Illustrative for `pueuiiuu`</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0.8 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 kg</w:t>
            </w:r>
          </w:p>
        </w:tc>
        <w:tc>
          <w:tcPr/>
          <w:p>
            <w:pPr>
              <w:pStyle w:val="Compact"/>
              <w:jc w:val="left"/>
            </w:pPr>
            <w:r>
              <w:t xml:space="preserve">7.0</w:t>
            </w:r>
          </w:p>
        </w:tc>
        <w:tc>
          <w:tcPr/>
          <w:p>
            <w:pPr>
              <w:pStyle w:val="Compact"/>
              <w:jc w:val="left"/>
            </w:pPr>
            <w:r>
              <w:t xml:space="preserve">0.70</w:t>
            </w:r>
          </w:p>
        </w:tc>
      </w:tr>
      <w:tr>
        <w:tc>
          <w:tcPr/>
          <w:p>
            <w:pPr>
              <w:pStyle w:val="Compact"/>
              <w:jc w:val="left"/>
            </w:pPr>
            <w:r>
              <w:t xml:space="preserve">M004</w:t>
            </w:r>
          </w:p>
        </w:tc>
        <w:tc>
          <w:tcPr/>
          <w:p>
            <w:pPr>
              <w:pStyle w:val="Compact"/>
              <w:jc w:val="left"/>
            </w:pPr>
            <w:r>
              <w:t xml:space="preserve">Printed Circuit Bd.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 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P001</w:t>
            </w:r>
          </w:p>
        </w:tc>
        <w:tc>
          <w:tcPr/>
          <w:p>
            <w:pPr>
              <w:pStyle w:val="Compact"/>
              <w:jc w:val="left"/>
            </w:pPr>
            <w:r>
              <w:t xml:space="preserve">Corrugated Cardboard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0.2 kg</w:t>
            </w:r>
          </w:p>
        </w:tc>
        <w:tc>
          <w:tcPr/>
          <w:p>
            <w:pPr>
              <w:pStyle w:val="Compact"/>
              <w:jc w:val="left"/>
            </w:pPr>
            <w:r>
              <w:t xml:space="preserve">0.5</w:t>
            </w:r>
          </w:p>
        </w:tc>
        <w:tc>
          <w:tcPr/>
          <w:p>
            <w:pPr>
              <w:pStyle w:val="Compact"/>
              <w:jc w:val="left"/>
            </w:pPr>
            <w:r>
              <w:t xml:space="preserve">0.10</w:t>
            </w:r>
          </w:p>
        </w:tc>
      </w:tr>
      <w:tr>
        <w:tc>
          <w:tcPr/>
          <w:p>
            <w:pPr>
              <w:pStyle w:val="Compact"/>
              <w:jc w:val="left"/>
            </w:pPr>
            <w:r>
              <w:t xml:space="preserve">P002</w:t>
            </w:r>
          </w:p>
        </w:tc>
        <w:tc>
          <w:tcPr/>
          <w:p>
            <w:pPr>
              <w:pStyle w:val="Compact"/>
              <w:jc w:val="left"/>
            </w:pPr>
            <w:r>
              <w:t xml:space="preserve">LDPE Film</w:t>
            </w:r>
          </w:p>
        </w:tc>
        <w:tc>
          <w:tcPr/>
          <w:p>
            <w:pPr>
              <w:pStyle w:val="Compact"/>
              <w:jc w:val="left"/>
            </w:pPr>
            <w:r>
              <w:t xml:space="preserve">Packaging</w:t>
            </w:r>
          </w:p>
        </w:tc>
        <w:tc>
          <w:tcPr/>
          <w:p>
            <w:pPr>
              <w:pStyle w:val="Compact"/>
              <w:jc w:val="left"/>
            </w:pPr>
            <w:r>
              <w:t xml:space="preserve">Extrusion</w:t>
            </w:r>
          </w:p>
        </w:tc>
        <w:tc>
          <w:tcPr/>
          <w:p>
            <w:pPr>
              <w:pStyle w:val="Compact"/>
              <w:jc w:val="left"/>
            </w:pPr>
            <w:r>
              <w:t xml:space="preserve">0.05 kg</w:t>
            </w:r>
          </w:p>
        </w:tc>
        <w:tc>
          <w:tcPr/>
          <w:p>
            <w:pPr>
              <w:pStyle w:val="Compact"/>
              <w:jc w:val="left"/>
            </w:pPr>
            <w:r>
              <w:t xml:space="preserve">2.0</w:t>
            </w:r>
          </w:p>
        </w:tc>
        <w:tc>
          <w:tcPr/>
          <w:p>
            <w:pPr>
              <w:pStyle w:val="Compact"/>
              <w:jc w:val="left"/>
            </w:pPr>
            <w:r>
              <w:t xml:space="preserve">0.10</w:t>
            </w:r>
          </w:p>
        </w:tc>
      </w:tr>
      <w:tr>
        <w:tc>
          <w:tcPr>
            <w:gridSpan w:val="6"/>
          </w:tcPr>
          <w:p>
            <w:pPr>
              <w:pStyle w:val="Compact"/>
              <w:jc w:val="right"/>
            </w:pPr>
            <w:r>
              <w:rPr>
                <w:bCs/>
                <w:b/>
              </w:rPr>
              <w:t xml:space="preserve">Total Material Production Emissions (Illustrative)</w:t>
            </w:r>
          </w:p>
        </w:tc>
        <w:tc>
          <w:tcPr/>
          <w:p>
            <w:pPr>
              <w:pStyle w:val="Compact"/>
              <w:jc w:val="left"/>
            </w:pPr>
            <w:r>
              <w:rPr>
                <w:bCs/>
                <w:b/>
              </w:rPr>
              <w:t xml:space="preserve">15.95</w:t>
            </w:r>
          </w:p>
        </w:tc>
      </w:tr>
    </w:tbl>
    <w:bookmarkEnd w:id="24"/>
    <w:bookmarkEnd w:id="25"/>
    <w:bookmarkStart w:id="26" w:name="X4cb4ad1a9bf1eea3bd60705f2dd724d5a43203d"/>
    <w:p>
      <w:pPr>
        <w:pStyle w:val="Heading3"/>
      </w:pPr>
      <w:r>
        <w:t xml:space="preserve">2.2. Manufacturing (Factory Gate Emissions - Scope 1 &amp; 2)</w:t>
      </w:r>
    </w:p>
    <w:p>
      <w:pPr>
        <w:pStyle w:val="FirstParagraph"/>
      </w:pPr>
      <w:r>
        <w:t xml:space="preserve">This stage covers the energy consumption and direct emissions from the final production country, China.</w:t>
      </w:r>
    </w:p>
    <w:p>
      <w:pPr>
        <w:numPr>
          <w:ilvl w:val="0"/>
          <w:numId w:val="1003"/>
        </w:numPr>
        <w:pStyle w:val="Compact"/>
      </w:pPr>
      <w:r>
        <w:rPr>
          <w:bCs/>
          <w:b/>
        </w:rPr>
        <w:t xml:space="preserve">Energy Intensity (kWh/unit):</w:t>
      </w:r>
      <w:r>
        <w:t xml:space="preserve"> </w:t>
      </w:r>
      <w:r>
        <w:rPr>
          <w:rStyle w:val="VerbatimChar"/>
        </w:rPr>
        <w:t xml:space="preserve">mlwgxdxynk</w:t>
      </w:r>
      <w:r>
        <w:t xml:space="preserve"> </w:t>
      </w:r>
      <w:r>
        <w:t xml:space="preserve">(Illustrative: 0.8 kWh/unit)</w:t>
      </w:r>
    </w:p>
    <w:p>
      <w:pPr>
        <w:numPr>
          <w:ilvl w:val="0"/>
          <w:numId w:val="1003"/>
        </w:numPr>
        <w:pStyle w:val="Compact"/>
      </w:pPr>
      <w:r>
        <w:rPr>
          <w:bCs/>
          <w:b/>
        </w:rPr>
        <w:t xml:space="preserve">Renewable Energy Usage:</w:t>
      </w:r>
      <w:r>
        <w:t xml:space="preserve"> </w:t>
      </w:r>
      <w:r>
        <w:rPr>
          <w:rStyle w:val="VerbatimChar"/>
        </w:rPr>
        <w:t xml:space="preserve">ommkjhxvxl</w:t>
      </w:r>
      <w:r>
        <w:t xml:space="preserve"> </w:t>
      </w:r>
      <w:r>
        <w:t xml:space="preserve">(Illustrative: 75%)</w:t>
      </w:r>
    </w:p>
    <w:p>
      <w:pPr>
        <w:numPr>
          <w:ilvl w:val="0"/>
          <w:numId w:val="1003"/>
        </w:numPr>
        <w:pStyle w:val="Compact"/>
      </w:pPr>
      <w:r>
        <w:rPr>
          <w:bCs/>
          <w:b/>
        </w:rPr>
        <w:t xml:space="preserve">Non-renewable energy consumption:</w:t>
      </w:r>
      <w:r>
        <w:t xml:space="preserve"> </w:t>
      </w:r>
      <w:r>
        <w:t xml:space="preserve">0.8 kWh/unit * (1 - 0.75) = 0.2 kWh/unit.</w:t>
      </w:r>
    </w:p>
    <w:p>
      <w:pPr>
        <w:numPr>
          <w:ilvl w:val="0"/>
          <w:numId w:val="1003"/>
        </w:numPr>
        <w:pStyle w:val="Compact"/>
      </w:pPr>
      <w:r>
        <w:rPr>
          <w:bCs/>
          <w:b/>
        </w:rPr>
        <w:t xml:space="preserve">Scope 1 Emissions:</w:t>
      </w:r>
      <w:r>
        <w:t xml:space="preserve"> </w:t>
      </w:r>
      <w:r>
        <w:t xml:space="preserve">Direct emissions from owned or controlled sources (e.g., on-site fuel combustion, process emissions, fugitive emissions). For this illustrative report, we assume minimal direct process emissions not covered by energy, or they are considered negligible in the context of material and energy. A full report would quantify these if significant.</w:t>
      </w:r>
    </w:p>
    <w:p>
      <w:pPr>
        <w:numPr>
          <w:ilvl w:val="0"/>
          <w:numId w:val="1003"/>
        </w:numPr>
        <w:pStyle w:val="Compact"/>
      </w:pPr>
      <w:r>
        <w:rPr>
          <w:bCs/>
          <w:b/>
        </w:rPr>
        <w:t xml:space="preserve">Scope 2 Emissions:</w:t>
      </w:r>
      <w:r>
        <w:t xml:space="preserve"> </w:t>
      </w:r>
      <w:r>
        <w:t xml:space="preserve">Indirect emissions from the generation of purchased electricity, steam, heat, or cooling. Calculated based on the non-renewable portion of energy consumption and the grid emission factor for China.</w:t>
      </w:r>
    </w:p>
    <w:bookmarkEnd w:id="26"/>
    <w:bookmarkStart w:id="27" w:name="Xc78fa9e95fdc5a4841e5055035e97eb6a5c3c11"/>
    <w:p>
      <w:pPr>
        <w:pStyle w:val="Heading3"/>
      </w:pPr>
      <w:r>
        <w:t xml:space="preserve">2.3. Transport &amp; Distribution (Scope 3 - Upstream &amp; Downstream)</w:t>
      </w:r>
    </w:p>
    <w:p>
      <w:pPr>
        <w:pStyle w:val="FirstParagraph"/>
      </w:pPr>
      <w:r>
        <w:t xml:space="preserve">Logistics data is incorporated into the supply chain analysis.</w:t>
      </w:r>
    </w:p>
    <w:p>
      <w:pPr>
        <w:numPr>
          <w:ilvl w:val="0"/>
          <w:numId w:val="1004"/>
        </w:numPr>
        <w:pStyle w:val="Compact"/>
      </w:pPr>
      <w:r>
        <w:rPr>
          <w:bCs/>
          <w:b/>
        </w:rPr>
        <w:t xml:space="preserve">Transport Mode:</w:t>
      </w:r>
      <w:r>
        <w:t xml:space="preserve"> </w:t>
      </w:r>
      <w:r>
        <w:rPr>
          <w:rStyle w:val="VerbatimChar"/>
        </w:rPr>
        <w:t xml:space="preserve">Select Mode</w:t>
      </w:r>
      <w:r>
        <w:t xml:space="preserve"> </w:t>
      </w:r>
      <w:r>
        <w:t xml:space="preserve">(Illustrative: Road Freight - Heavy Goods Vehicle, Euro VI)</w:t>
      </w:r>
    </w:p>
    <w:p>
      <w:pPr>
        <w:numPr>
          <w:ilvl w:val="0"/>
          <w:numId w:val="1004"/>
        </w:numPr>
        <w:pStyle w:val="Compact"/>
      </w:pPr>
      <w:r>
        <w:rPr>
          <w:bCs/>
          <w:b/>
        </w:rPr>
        <w:t xml:space="preserve">Transport Distance:</w:t>
      </w:r>
      <w:r>
        <w:t xml:space="preserve"> </w:t>
      </w:r>
      <w:r>
        <w:rPr>
          <w:rStyle w:val="VerbatimChar"/>
        </w:rPr>
        <w:t xml:space="preserve">uxnxizilmu</w:t>
      </w:r>
      <w:r>
        <w:t xml:space="preserve"> </w:t>
      </w:r>
      <w:r>
        <w:t xml:space="preserve">(Illustrative: 1500 km for inbound materials to China factory, 500 km for outbound product distribution from China).</w:t>
      </w:r>
    </w:p>
    <w:p>
      <w:pPr>
        <w:numPr>
          <w:ilvl w:val="0"/>
          <w:numId w:val="1004"/>
        </w:numPr>
        <w:pStyle w:val="Compact"/>
      </w:pPr>
      <w:r>
        <w:rPr>
          <w:bCs/>
          <w:b/>
        </w:rPr>
        <w:t xml:space="preserve">Last-Mile Delivery Channel:</w:t>
      </w:r>
      <w:r>
        <w:t xml:space="preserve"> </w:t>
      </w:r>
      <w:r>
        <w:rPr>
          <w:rStyle w:val="VerbatimChar"/>
        </w:rPr>
        <w:t xml:space="preserve">Delivery Type</w:t>
      </w:r>
      <w:r>
        <w:t xml:space="preserve"> </w:t>
      </w:r>
      <w:r>
        <w:t xml:space="preserve">(Illustrative: Parcel Service via Diesel Van for 50 km).</w:t>
      </w:r>
    </w:p>
    <w:p>
      <w:pPr>
        <w:numPr>
          <w:ilvl w:val="0"/>
          <w:numId w:val="1004"/>
        </w:numPr>
        <w:pStyle w:val="Compact"/>
      </w:pPr>
      <w:r>
        <w:rPr>
          <w:bCs/>
          <w:b/>
        </w:rPr>
        <w:t xml:space="preserve">Assumed Product Weight:</w:t>
      </w:r>
      <w:r>
        <w:t xml:space="preserve"> </w:t>
      </w:r>
      <w:r>
        <w:t xml:space="preserve">The total weight of the functional unit (product + packaging) is assumed to be approximately 2 kg for illustrative transport calculations.</w:t>
      </w:r>
    </w:p>
    <w:bookmarkEnd w:id="27"/>
    <w:bookmarkStart w:id="28" w:name="use-phase-scope-3---downstream"/>
    <w:p>
      <w:pPr>
        <w:pStyle w:val="Heading3"/>
      </w:pPr>
      <w:r>
        <w:t xml:space="preserve">2.4. Use Phase (Scope 3 - Downstream)</w:t>
      </w:r>
    </w:p>
    <w:p>
      <w:pPr>
        <w:pStyle w:val="FirstParagraph"/>
      </w:pPr>
      <w:r>
        <w:t xml:space="preserve">The environmental impact during the product\'s operational life is calculated using specific durability and consumption data.</w:t>
      </w:r>
    </w:p>
    <w:p>
      <w:pPr>
        <w:numPr>
          <w:ilvl w:val="0"/>
          <w:numId w:val="1005"/>
        </w:numPr>
        <w:pStyle w:val="Compact"/>
      </w:pPr>
      <w:r>
        <w:rPr>
          <w:bCs/>
          <w:b/>
        </w:rPr>
        <w:t xml:space="preserve">Product Lifespan:</w:t>
      </w:r>
      <w:r>
        <w:t xml:space="preserve"> </w:t>
      </w:r>
      <w:r>
        <w:rPr>
          <w:rStyle w:val="VerbatimChar"/>
        </w:rPr>
        <w:t xml:space="preserve">hxqerrppot</w:t>
      </w:r>
      <w:r>
        <w:t xml:space="preserve"> </w:t>
      </w:r>
      <w:r>
        <w:t xml:space="preserve">(Illustrative: 5 years)</w:t>
      </w:r>
    </w:p>
    <w:p>
      <w:pPr>
        <w:numPr>
          <w:ilvl w:val="0"/>
          <w:numId w:val="1005"/>
        </w:numPr>
        <w:pStyle w:val="Compact"/>
      </w:pPr>
      <w:r>
        <w:rPr>
          <w:bCs/>
          <w:b/>
        </w:rPr>
        <w:t xml:space="preserve">Energy Consumption in Use:</w:t>
      </w:r>
      <w:r>
        <w:t xml:space="preserve"> </w:t>
      </w:r>
      <w:r>
        <w:rPr>
          <w:rStyle w:val="VerbatimChar"/>
        </w:rPr>
        <w:t xml:space="preserve">etgrrdtezi</w:t>
      </w:r>
      <w:r>
        <w:t xml:space="preserve"> </w:t>
      </w:r>
      <w:r>
        <w:t xml:space="preserve">(Illustrative: 10 kWh/year)</w:t>
      </w:r>
    </w:p>
    <w:p>
      <w:pPr>
        <w:numPr>
          <w:ilvl w:val="0"/>
          <w:numId w:val="1005"/>
        </w:numPr>
        <w:pStyle w:val="Compact"/>
      </w:pPr>
      <w:r>
        <w:rPr>
          <w:bCs/>
          <w:b/>
        </w:rPr>
        <w:t xml:space="preserve">User Region Grid Emission Factor:</w:t>
      </w:r>
      <w:r>
        <w:t xml:space="preserve"> </w:t>
      </w:r>
      <w:r>
        <w:t xml:space="preserve">Assumed global average for illustration.</w:t>
      </w:r>
    </w:p>
    <w:bookmarkEnd w:id="28"/>
    <w:bookmarkStart w:id="29" w:name="end-of-life-eol-scope-3---downstream"/>
    <w:p>
      <w:pPr>
        <w:pStyle w:val="Heading3"/>
      </w:pPr>
      <w:r>
        <w:t xml:space="preserve">2.5. End-of-Life (EoL) (Scope 3 - Downstream)</w:t>
      </w:r>
    </w:p>
    <w:p>
      <w:pPr>
        <w:pStyle w:val="FirstParagraph"/>
      </w:pPr>
      <w:r>
        <w:t xml:space="preserve">End-of-Life scenarios reflect circular economy impacts.</w:t>
      </w:r>
    </w:p>
    <w:p>
      <w:pPr>
        <w:numPr>
          <w:ilvl w:val="0"/>
          <w:numId w:val="1006"/>
        </w:numPr>
        <w:pStyle w:val="Compact"/>
      </w:pPr>
      <w:r>
        <w:rPr>
          <w:bCs/>
          <w:b/>
        </w:rPr>
        <w:t xml:space="preserve">Recyclability Percentage:</w:t>
      </w:r>
      <w:r>
        <w:t xml:space="preserve"> </w:t>
      </w:r>
      <w:r>
        <w:rPr>
          <w:rStyle w:val="VerbatimChar"/>
        </w:rPr>
        <w:t xml:space="preserve">vwywmldtms</w:t>
      </w:r>
      <w:r>
        <w:t xml:space="preserve"> </w:t>
      </w:r>
      <w:r>
        <w:t xml:space="preserve">(Illustrative: 80%)</w:t>
      </w:r>
    </w:p>
    <w:p>
      <w:pPr>
        <w:numPr>
          <w:ilvl w:val="0"/>
          <w:numId w:val="1006"/>
        </w:numPr>
        <w:pStyle w:val="Compact"/>
      </w:pPr>
      <w:r>
        <w:rPr>
          <w:bCs/>
          <w:b/>
        </w:rPr>
        <w:t xml:space="preserve">Circular/Take-back Programs:</w:t>
      </w:r>
      <w:r>
        <w:t xml:space="preserve"> </w:t>
      </w:r>
      <w:r>
        <w:rPr>
          <w:rStyle w:val="VerbatimChar"/>
        </w:rPr>
        <w:t xml:space="preserve">usjeijrmhe</w:t>
      </w:r>
      <w:r>
        <w:t xml:space="preserve"> </w:t>
      </w:r>
      <w:r>
        <w:t xml:space="preserve">(Illustrative: Yes, regional program implemented by kntwzjmvyn).</w:t>
      </w:r>
    </w:p>
    <w:p>
      <w:pPr>
        <w:numPr>
          <w:ilvl w:val="0"/>
          <w:numId w:val="1006"/>
        </w:numPr>
        <w:pStyle w:val="Compact"/>
      </w:pPr>
      <w:r>
        <w:t xml:space="preserve">Emissions are calculated for the non-recycled portion (e.g., landfill, incineration), and avoided emissions (credits) are calculated for the recycled portion, representing the GHG savings from replacing virgin material production. The GHG Protocol Land Sector and Removals (LSR) Standard, taking effect January 1, 2027, also provides guidance for accounting for emissions from biogenic products across the value chain, which could be relevant here if biogenic materials are involved.</w:t>
      </w:r>
    </w:p>
    <w:p>
      <w:r>
        <w:pict>
          <v:rect style="width:0;height:1.5pt" o:hralign="center" o:hrstd="t" o:hr="t"/>
        </w:pict>
      </w:r>
    </w:p>
    <w:bookmarkEnd w:id="29"/>
    <w:bookmarkEnd w:id="30"/>
    <w:bookmarkStart w:id="44" w:name="calculating-emissions"/>
    <w:p>
      <w:pPr>
        <w:pStyle w:val="Heading2"/>
      </w:pPr>
      <w:r>
        <w:t xml:space="preserve">4. Calculating Emissions</w:t>
      </w:r>
    </w:p>
    <w:p>
      <w:pPr>
        <w:pStyle w:val="FirstParagraph"/>
      </w:pPr>
      <w:r>
        <w:t xml:space="preserve">Emissions are calculated using the formula: Activity Data × Emission Factor = CO2e.</w:t>
      </w:r>
      <w:r>
        <w:t xml:space="preserve"> </w:t>
      </w:r>
      <w:r>
        <w:t xml:space="preserve">The following calculations use illustrative emission factors for demonstration purposes, as the input parameters were placeholders.</w:t>
      </w:r>
    </w:p>
    <w:bookmarkStart w:id="33" w:name="X3b3d7b10af023cd911c4d6585bdacbe630630f6"/>
    <w:p>
      <w:pPr>
        <w:pStyle w:val="Heading3"/>
      </w:pPr>
      <w:r>
        <w:t xml:space="preserve">4.1. Scope 3: Upstream Emissions (Cradle-to-Gate)</w:t>
      </w:r>
    </w:p>
    <w:bookmarkStart w:id="31" w:name="materials-production"/>
    <w:p>
      <w:pPr>
        <w:pStyle w:val="Heading4"/>
      </w:pPr>
      <w:r>
        <w:t xml:space="preserve">Materials Production:</w:t>
      </w:r>
    </w:p>
    <w:p>
      <w:pPr>
        <w:pStyle w:val="FirstParagraph"/>
      </w:pPr>
      <w:r>
        <w:t xml:space="preserve">Based on the BOM data provided (Total Carbon column). Total Illustrative Material Emissions = 15.95 kgCO2e.</w:t>
      </w:r>
    </w:p>
    <w:bookmarkEnd w:id="31"/>
    <w:bookmarkStart w:id="32" w:name="Xe9bcd82919f2d10606a15e85627242dbd9855b5"/>
    <w:p>
      <w:pPr>
        <w:pStyle w:val="Heading4"/>
      </w:pPr>
      <w:r>
        <w:t xml:space="preserve">Upstream Transportation (Materials to Factory in China):</w:t>
      </w:r>
    </w:p>
    <w:p>
      <w:pPr>
        <w:pStyle w:val="FirstParagraph"/>
      </w:pPr>
      <w:r>
        <w:t xml:space="preserve">Assuming average total inbound material weight of 1.45 kg per functional unit and a road freight (HGV, Euro VI) emission factor of 0.02 kgCO2e/tkm (0.00002 kgCO2e/kg.km).</w:t>
      </w:r>
    </w:p>
    <w:p>
      <w:pPr>
        <w:pStyle w:val="BodyText"/>
      </w:pPr>
      <w:r>
        <w:t xml:space="preserve">Illustrative Calculation: 1.45 kg *</w:t>
      </w:r>
      <w:r>
        <w:t xml:space="preserve"> </w:t>
      </w:r>
      <w:r>
        <w:rPr>
          <w:rStyle w:val="VerbatimChar"/>
        </w:rPr>
        <w:t xml:space="preserve">uxnxizilmu</w:t>
      </w:r>
      <w:r>
        <w:t xml:space="preserve"> </w:t>
      </w:r>
      <w:r>
        <w:t xml:space="preserve">(1500 km) * 0.00002 kgCO2e/kg.km = 0.0435 kgCO2e.</w:t>
      </w:r>
    </w:p>
    <w:bookmarkEnd w:id="32"/>
    <w:bookmarkEnd w:id="33"/>
    <w:bookmarkStart w:id="36" w:name="X8030d8f222255864dc5756b5dedfb10cc8f5297"/>
    <w:p>
      <w:pPr>
        <w:pStyle w:val="Heading3"/>
      </w:pPr>
      <w:r>
        <w:t xml:space="preserve">4.2. Scope 1 &amp; 2: Manufacturing Emissions (Factory Gate)</w:t>
      </w:r>
    </w:p>
    <w:bookmarkStart w:id="34" w:name="scope-1-direct-emissions"/>
    <w:p>
      <w:pPr>
        <w:pStyle w:val="Heading4"/>
      </w:pPr>
      <w:r>
        <w:t xml:space="preserve">Scope 1: Direct Emissions</w:t>
      </w:r>
    </w:p>
    <w:p>
      <w:pPr>
        <w:pStyle w:val="FirstParagraph"/>
      </w:pPr>
      <w:r>
        <w:t xml:space="preserve">For this illustrative analysis, direct manufacturing emissions (e.g., on-site fuel combustion, process emissions) are considered negligible or already embedded in energy factors. In a real assessment, these would be quantified if present.</w:t>
      </w:r>
    </w:p>
    <w:bookmarkEnd w:id="34"/>
    <w:bookmarkStart w:id="35" w:name="scope-2-purchased-electricity"/>
    <w:p>
      <w:pPr>
        <w:pStyle w:val="Heading4"/>
      </w:pPr>
      <w:r>
        <w:t xml:space="preserve">Scope 2: Purchased Electricity</w:t>
      </w:r>
    </w:p>
    <w:p>
      <w:pPr>
        <w:pStyle w:val="FirstParagraph"/>
      </w:pPr>
      <w:r>
        <w:t xml:space="preserve">Based on</w:t>
      </w:r>
      <w:r>
        <w:t xml:space="preserve"> </w:t>
      </w:r>
      <w:r>
        <w:rPr>
          <w:rStyle w:val="VerbatimChar"/>
        </w:rPr>
        <w:t xml:space="preserve">mlwgxdxynk</w:t>
      </w:r>
      <w:r>
        <w:t xml:space="preserve"> </w:t>
      </w:r>
      <w:r>
        <w:t xml:space="preserve">(0.8 kWh/unit) and</w:t>
      </w:r>
      <w:r>
        <w:t xml:space="preserve"> </w:t>
      </w:r>
      <w:r>
        <w:rPr>
          <w:rStyle w:val="VerbatimChar"/>
        </w:rPr>
        <w:t xml:space="preserve">ommkjhxvxl</w:t>
      </w:r>
      <w:r>
        <w:t xml:space="preserve"> </w:t>
      </w:r>
      <w:r>
        <w:t xml:space="preserve">(75% renewable energy usage).</w:t>
      </w:r>
      <w:r>
        <w:t xml:space="preserve"> </w:t>
      </w:r>
      <w:r>
        <w:t xml:space="preserve">Non-renewable electricity: 0.8 kWh/unit * (1 - 0.75) = 0.2 kWh/unit.</w:t>
      </w:r>
      <w:r>
        <w:t xml:space="preserve"> </w:t>
      </w:r>
      <w:r>
        <w:t xml:space="preserve">Illustrative China Grid Emission Factor: 0.6 kgCO2e/kWh.</w:t>
      </w:r>
    </w:p>
    <w:p>
      <w:pPr>
        <w:pStyle w:val="BodyText"/>
      </w:pPr>
      <w:r>
        <w:t xml:space="preserve">Illustrative Calculation: 0.2 kWh/unit * 0.6 kgCO2e/kWh = 0.12 kgCO2e.</w:t>
      </w:r>
    </w:p>
    <w:bookmarkEnd w:id="35"/>
    <w:bookmarkEnd w:id="36"/>
    <w:bookmarkStart w:id="41" w:name="scope-3-downstream-emissions"/>
    <w:p>
      <w:pPr>
        <w:pStyle w:val="Heading3"/>
      </w:pPr>
      <w:r>
        <w:t xml:space="preserve">4.3. Scope 3: Downstream Emissions</w:t>
      </w:r>
    </w:p>
    <w:bookmarkStart w:id="37" w:name="Xfba87924941b3e24df07b3ca956e3f232bcec69"/>
    <w:p>
      <w:pPr>
        <w:pStyle w:val="Heading4"/>
      </w:pPr>
      <w:r>
        <w:t xml:space="preserve">Product Distribution (From Factory to Market):</w:t>
      </w:r>
    </w:p>
    <w:p>
      <w:pPr>
        <w:pStyle w:val="FirstParagraph"/>
      </w:pPr>
      <w:r>
        <w:t xml:space="preserve">Assuming product + packaging weight of 2 kg, distance of</w:t>
      </w:r>
      <w:r>
        <w:t xml:space="preserve"> </w:t>
      </w:r>
      <w:r>
        <w:rPr>
          <w:rStyle w:val="VerbatimChar"/>
        </w:rPr>
        <w:t xml:space="preserve">uxnxizilmu</w:t>
      </w:r>
      <w:r>
        <w:t xml:space="preserve"> </w:t>
      </w:r>
      <w:r>
        <w:t xml:space="preserve">(500 km), and road freight (HGV, Euro VI) emission factor of 0.02 kgCO2e/tkm (0.00002 kgCO2e/kg.km).</w:t>
      </w:r>
    </w:p>
    <w:p>
      <w:pPr>
        <w:pStyle w:val="BodyText"/>
      </w:pPr>
      <w:r>
        <w:t xml:space="preserve">Illustrative Calculation: 2 kg * 500 km * 0.00002 kgCO2e/kg.km = 0.02 kgCO2e.</w:t>
      </w:r>
    </w:p>
    <w:bookmarkEnd w:id="37"/>
    <w:bookmarkStart w:id="38" w:name="last-mile-delivery"/>
    <w:p>
      <w:pPr>
        <w:pStyle w:val="Heading4"/>
      </w:pPr>
      <w:r>
        <w:t xml:space="preserve">Last-Mile Delivery:</w:t>
      </w:r>
    </w:p>
    <w:p>
      <w:pPr>
        <w:pStyle w:val="FirstParagraph"/>
      </w:pPr>
      <w:r>
        <w:t xml:space="preserve">Assuming `Delivery Type` (Parcel Service) with an illustrative emission factor of 0.1 kgCO2e per unit for last-mile delivery.</w:t>
      </w:r>
    </w:p>
    <w:p>
      <w:pPr>
        <w:pStyle w:val="BodyText"/>
      </w:pPr>
      <w:r>
        <w:t xml:space="preserve">Illustrative Calculation: 0.1 kgCO2e per unit = 0.10 kgCO2e.</w:t>
      </w:r>
    </w:p>
    <w:bookmarkEnd w:id="38"/>
    <w:bookmarkStart w:id="39" w:name="use-phase"/>
    <w:p>
      <w:pPr>
        <w:pStyle w:val="Heading4"/>
      </w:pPr>
      <w:r>
        <w:t xml:space="preserve">Use Phase:</w:t>
      </w:r>
    </w:p>
    <w:p>
      <w:pPr>
        <w:pStyle w:val="FirstParagraph"/>
      </w:pPr>
      <w:r>
        <w:t xml:space="preserve">Based on</w:t>
      </w:r>
      <w:r>
        <w:t xml:space="preserve"> </w:t>
      </w:r>
      <w:r>
        <w:rPr>
          <w:rStyle w:val="VerbatimChar"/>
        </w:rPr>
        <w:t xml:space="preserve">hxqerrppot</w:t>
      </w:r>
      <w:r>
        <w:t xml:space="preserve"> </w:t>
      </w:r>
      <w:r>
        <w:t xml:space="preserve">(5 years lifespan) and</w:t>
      </w:r>
      <w:r>
        <w:t xml:space="preserve"> </w:t>
      </w:r>
      <w:r>
        <w:rPr>
          <w:rStyle w:val="VerbatimChar"/>
        </w:rPr>
        <w:t xml:space="preserve">etgrrdtezi</w:t>
      </w:r>
      <w:r>
        <w:t xml:space="preserve"> </w:t>
      </w:r>
      <w:r>
        <w:t xml:space="preserve">(10 kWh/year energy consumption).</w:t>
      </w:r>
      <w:r>
        <w:t xml:space="preserve"> </w:t>
      </w:r>
      <w:r>
        <w:t xml:space="preserve">Total energy consumed: 10 kWh/year * 5 years = 50 kWh.</w:t>
      </w:r>
      <w:r>
        <w:t xml:space="preserve"> </w:t>
      </w:r>
      <w:r>
        <w:t xml:space="preserve">Illustrative User Region Grid Emission Factor: 0.4 kgCO2e/kWh.</w:t>
      </w:r>
    </w:p>
    <w:p>
      <w:pPr>
        <w:pStyle w:val="BodyText"/>
      </w:pPr>
      <w:r>
        <w:t xml:space="preserve">Illustrative Calculation: 50 kWh * 0.4 kgCO2e/kWh = 20.00 kgCO2e.</w:t>
      </w:r>
    </w:p>
    <w:bookmarkEnd w:id="39"/>
    <w:bookmarkStart w:id="40" w:name="end-of-life-eol"/>
    <w:p>
      <w:pPr>
        <w:pStyle w:val="Heading4"/>
      </w:pPr>
      <w:r>
        <w:t xml:space="preserve">End-of-Life (EoL):</w:t>
      </w:r>
    </w:p>
    <w:p>
      <w:pPr>
        <w:pStyle w:val="FirstParagraph"/>
      </w:pPr>
      <w:r>
        <w:t xml:space="preserve">Total illustrative product weight for EoL is 2 kg (product + packaging).</w:t>
      </w:r>
      <w:r>
        <w:t xml:space="preserve"> </w:t>
      </w:r>
      <w:r>
        <w:t xml:space="preserve">Recyclability:</w:t>
      </w:r>
      <w:r>
        <w:t xml:space="preserve"> </w:t>
      </w:r>
      <w:r>
        <w:rPr>
          <w:rStyle w:val="VerbatimChar"/>
        </w:rPr>
        <w:t xml:space="preserve">vwywmldtms</w:t>
      </w:r>
      <w:r>
        <w:t xml:space="preserve"> </w:t>
      </w:r>
      <w:r>
        <w:t xml:space="preserve">(80%).</w:t>
      </w:r>
      <w:r>
        <w:t xml:space="preserve"> </w:t>
      </w:r>
      <w:r>
        <w:t xml:space="preserve">Amount recycled: 2 kg * 0.80 = 1.6 kg.</w:t>
      </w:r>
      <w:r>
        <w:t xml:space="preserve"> </w:t>
      </w:r>
      <w:r>
        <w:t xml:space="preserve">Amount disposed (landfill/incineration): 2 kg * 0.20 = 0.4 kg.</w:t>
      </w:r>
    </w:p>
    <w:p>
      <w:pPr>
        <w:pStyle w:val="BodyText"/>
      </w:pPr>
      <w:r>
        <w:t xml:space="preserve">Illustrative Avoided Emissions from Recycling (e.g., average 2.5 kgCO2e/kg avoided for mixed materials, simplified): 1.6 kg * -2.5 kgCO2e/kg = -4.00 kgCO2e.</w:t>
      </w:r>
    </w:p>
    <w:p>
      <w:pPr>
        <w:pStyle w:val="BodyText"/>
      </w:pPr>
      <w:r>
        <w:t xml:space="preserve">Illustrative Emissions from Disposal (e.g., 0.5 kgCO2e/kg for mixed waste): 0.4 kg * 0.5 kgCO2e/kg = 0.20 kgCO2e.</w:t>
      </w:r>
    </w:p>
    <w:p>
      <w:pPr>
        <w:pStyle w:val="BodyText"/>
      </w:pPr>
      <w:r>
        <w:t xml:space="preserve">Illustrative Total End-of-Life Emissions = -4.00 kgCO2e + 0.20 kgCO2e = -3.80 kgCO2e.</w:t>
      </w:r>
    </w:p>
    <w:p>
      <w:pPr>
        <w:pStyle w:val="BodyText"/>
      </w:pPr>
      <w:r>
        <w:rPr>
          <w:iCs/>
          <w:i/>
        </w:rPr>
        <w:t xml:space="preserve">Note on EoL:</w:t>
      </w:r>
      <w:r>
        <w:t xml:space="preserve"> </w:t>
      </w:r>
      <w:r>
        <w:t xml:space="preserve">The GHG Protocol allows for the calculation of avoided emissions (credits) for materials that are recycled and displace virgin material production, reflecting the benefits of circular economy initiatives like</w:t>
      </w:r>
      <w:r>
        <w:t xml:space="preserve"> </w:t>
      </w:r>
      <w:r>
        <w:rPr>
          <w:rStyle w:val="VerbatimChar"/>
        </w:rPr>
        <w:t xml:space="preserve">usjeijrmhe</w:t>
      </w:r>
      <w:r>
        <w:t xml:space="preserve"> </w:t>
      </w:r>
      <w:r>
        <w:t xml:space="preserve">(regional take-back programs).</w:t>
      </w:r>
    </w:p>
    <w:bookmarkEnd w:id="40"/>
    <w:bookmarkEnd w:id="41"/>
    <w:bookmarkStart w:id="43" w:name="X9b435f9006cf04294f943c0bc3e88ac8be6bd1a"/>
    <w:p>
      <w:pPr>
        <w:pStyle w:val="Heading3"/>
      </w:pPr>
      <w:r>
        <w:t xml:space="preserve">Total Product Carbon Footprint (Illustrative)</w:t>
      </w:r>
    </w:p>
    <w:p>
      <w:pPr>
        <w:pStyle w:val="FirstParagraph"/>
      </w:pPr>
      <w:r>
        <w:t xml:space="preserve">Summing up the illustrative emissions from each stage:</w:t>
      </w:r>
    </w:p>
    <w:p>
      <w:pPr>
        <w:pStyle w:val="BodyText"/>
      </w:pPr>
      <w:r>
        <w:t xml:space="preserve">15.95 (Materials) + 0.0435 (Upstream Transport) + 0.12 (Manufacturing) + 0.02 (Downstream Transport) + 0.10 (Last-Mile) + 20.00 (Use Phase) - 3.80 (End-of-Life) =</w:t>
      </w:r>
      <w:r>
        <w:t xml:space="preserve"> </w:t>
      </w:r>
      <w:r>
        <w:rPr>
          <w:bCs/>
          <w:b/>
        </w:rPr>
        <w:t xml:space="preserve">32.4335 kgCO2e per functional unit</w:t>
      </w:r>
      <w:r>
        <w:t xml:space="preserve">.</w:t>
      </w:r>
    </w:p>
    <w:bookmarkStart w:id="42" w:name="X3d37a39a07e3502c31756f61e64f8ef18475e6f"/>
    <w:p>
      <w:pPr>
        <w:pStyle w:val="Heading4"/>
      </w:pPr>
      <w:r>
        <w:t xml:space="preserve">Summary of Illustrative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Illustrative Emissions (kgCO2e)</w:t>
            </w:r>
          </w:p>
        </w:tc>
      </w:tr>
      <w:tr>
        <w:tc>
          <w:tcPr/>
          <w:p>
            <w:pPr>
              <w:pStyle w:val="Compact"/>
              <w:jc w:val="left"/>
            </w:pPr>
            <w:r>
              <w:t xml:space="preserve">Scope 3 (Upstream)</w:t>
            </w:r>
          </w:p>
        </w:tc>
        <w:tc>
          <w:tcPr/>
          <w:p>
            <w:pPr>
              <w:pStyle w:val="Compact"/>
              <w:jc w:val="left"/>
            </w:pPr>
            <w:r>
              <w:t xml:space="preserve">Material Acquisition &amp; Pre-processing</w:t>
            </w:r>
          </w:p>
        </w:tc>
        <w:tc>
          <w:tcPr/>
          <w:p>
            <w:pPr>
              <w:pStyle w:val="Compact"/>
              <w:jc w:val="left"/>
            </w:pPr>
            <w:r>
              <w:t xml:space="preserve">15.95</w:t>
            </w:r>
          </w:p>
        </w:tc>
      </w:tr>
      <w:tr>
        <w:tc>
          <w:tcPr/>
          <w:p>
            <w:pPr>
              <w:pStyle w:val="Compact"/>
              <w:jc w:val="left"/>
            </w:pPr>
            <w:r>
              <w:t xml:space="preserve">Scope 3 (Upstream)</w:t>
            </w:r>
          </w:p>
        </w:tc>
        <w:tc>
          <w:tcPr/>
          <w:p>
            <w:pPr>
              <w:pStyle w:val="Compact"/>
              <w:jc w:val="left"/>
            </w:pPr>
            <w:r>
              <w:t xml:space="preserve">Upstream Transportation (Materials)</w:t>
            </w:r>
          </w:p>
        </w:tc>
        <w:tc>
          <w:tcPr/>
          <w:p>
            <w:pPr>
              <w:pStyle w:val="Compact"/>
              <w:jc w:val="left"/>
            </w:pPr>
            <w:r>
              <w:t xml:space="preserve">0.04</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0.12</w:t>
            </w:r>
          </w:p>
        </w:tc>
      </w:tr>
      <w:tr>
        <w:tc>
          <w:tcPr/>
          <w:p>
            <w:pPr>
              <w:pStyle w:val="Compact"/>
              <w:jc w:val="left"/>
            </w:pPr>
            <w:r>
              <w:t xml:space="preserve">Scope 1</w:t>
            </w:r>
          </w:p>
        </w:tc>
        <w:tc>
          <w:tcPr/>
          <w:p>
            <w:pPr>
              <w:pStyle w:val="Compact"/>
              <w:jc w:val="left"/>
            </w:pPr>
            <w:r>
              <w:t xml:space="preserve">Manufacturing (Direct Emissions)</w:t>
            </w:r>
          </w:p>
        </w:tc>
        <w:tc>
          <w:tcPr/>
          <w:p>
            <w:pPr>
              <w:pStyle w:val="Compact"/>
              <w:jc w:val="left"/>
            </w:pPr>
            <w:r>
              <w:t xml:space="preserve">0.00</w:t>
            </w:r>
          </w:p>
        </w:tc>
      </w:tr>
      <w:tr>
        <w:tc>
          <w:tcPr/>
          <w:p>
            <w:pPr>
              <w:pStyle w:val="Compact"/>
              <w:jc w:val="left"/>
            </w:pPr>
            <w:r>
              <w:t xml:space="preserve">Scope 3 (Downstream)</w:t>
            </w:r>
          </w:p>
        </w:tc>
        <w:tc>
          <w:tcPr/>
          <w:p>
            <w:pPr>
              <w:pStyle w:val="Compact"/>
              <w:jc w:val="left"/>
            </w:pPr>
            <w:r>
              <w:t xml:space="preserve">Product Distribution</w:t>
            </w:r>
          </w:p>
        </w:tc>
        <w:tc>
          <w:tcPr/>
          <w:p>
            <w:pPr>
              <w:pStyle w:val="Compact"/>
              <w:jc w:val="left"/>
            </w:pPr>
            <w:r>
              <w:t xml:space="preserve">0.02</w:t>
            </w:r>
          </w:p>
        </w:tc>
      </w:tr>
      <w:tr>
        <w:tc>
          <w:tcPr/>
          <w:p>
            <w:pPr>
              <w:pStyle w:val="Compact"/>
              <w:jc w:val="left"/>
            </w:pPr>
            <w:r>
              <w:t xml:space="preserve">Scope 3 (Downstream)</w:t>
            </w:r>
          </w:p>
        </w:tc>
        <w:tc>
          <w:tcPr/>
          <w:p>
            <w:pPr>
              <w:pStyle w:val="Compact"/>
              <w:jc w:val="left"/>
            </w:pPr>
            <w:r>
              <w:t xml:space="preserve">Last-Mile Delivery</w:t>
            </w:r>
          </w:p>
        </w:tc>
        <w:tc>
          <w:tcPr/>
          <w:p>
            <w:pPr>
              <w:pStyle w:val="Compact"/>
              <w:jc w:val="left"/>
            </w:pPr>
            <w:r>
              <w:t xml:space="preserve">0.10</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20.00</w:t>
            </w:r>
          </w:p>
        </w:tc>
      </w:tr>
      <w:tr>
        <w:tc>
          <w:tcPr/>
          <w:p>
            <w:pPr>
              <w:pStyle w:val="Compact"/>
              <w:jc w:val="left"/>
            </w:pPr>
            <w:r>
              <w:t xml:space="preserve">Scope 3 (Downstream)</w:t>
            </w:r>
          </w:p>
        </w:tc>
        <w:tc>
          <w:tcPr/>
          <w:p>
            <w:pPr>
              <w:pStyle w:val="Compact"/>
              <w:jc w:val="left"/>
            </w:pPr>
            <w:r>
              <w:t xml:space="preserve">End-of-Life (Net)</w:t>
            </w:r>
          </w:p>
        </w:tc>
        <w:tc>
          <w:tcPr/>
          <w:p>
            <w:pPr>
              <w:pStyle w:val="Compact"/>
              <w:jc w:val="left"/>
            </w:pPr>
            <w:r>
              <w:t xml:space="preserve">-3.80</w:t>
            </w:r>
          </w:p>
        </w:tc>
      </w:tr>
      <w:tr>
        <w:tc>
          <w:tcPr>
            <w:gridSpan w:val="2"/>
          </w:tcPr>
          <w:p>
            <w:pPr>
              <w:pStyle w:val="Compact"/>
              <w:jc w:val="right"/>
            </w:pPr>
            <w:r>
              <w:rPr>
                <w:bCs/>
                <w:b/>
              </w:rPr>
              <w:t xml:space="preserve">TOTAL PRODUCT CARBON FOOTPRINT (Illustrative)</w:t>
            </w:r>
          </w:p>
        </w:tc>
        <w:tc>
          <w:tcPr/>
          <w:p>
            <w:pPr>
              <w:pStyle w:val="Compact"/>
              <w:jc w:val="left"/>
            </w:pPr>
            <w:r>
              <w:rPr>
                <w:bCs/>
                <w:b/>
              </w:rPr>
              <w:t xml:space="preserve">32.43</w:t>
            </w:r>
          </w:p>
        </w:tc>
      </w:tr>
    </w:tbl>
    <w:p>
      <w:r>
        <w:pict>
          <v:rect style="width:0;height:1.5pt" o:hralign="center" o:hrstd="t" o:hr="t"/>
        </w:pict>
      </w:r>
    </w:p>
    <w:bookmarkEnd w:id="42"/>
    <w:bookmarkEnd w:id="43"/>
    <w:bookmarkEnd w:id="44"/>
    <w:bookmarkStart w:id="47" w:name="review-report"/>
    <w:p>
      <w:pPr>
        <w:pStyle w:val="Heading2"/>
      </w:pPr>
      <w:r>
        <w:t xml:space="preserve">5. Review &amp; Report</w:t>
      </w:r>
    </w:p>
    <w:bookmarkStart w:id="45" w:name="hotspots-analysis"/>
    <w:p>
      <w:pPr>
        <w:pStyle w:val="Heading3"/>
      </w:pPr>
      <w:r>
        <w:t xml:space="preserve">5.1. Hotspots Analysis</w:t>
      </w:r>
    </w:p>
    <w:p>
      <w:pPr>
        <w:pStyle w:val="FirstParagraph"/>
      </w:pPr>
      <w:r>
        <w:t xml:space="preserve">Based on the illustrative calculations, the primary emission hotspots for</w:t>
      </w:r>
      <w:r>
        <w:t xml:space="preserve"> </w:t>
      </w:r>
      <w:r>
        <w:rPr>
          <w:bCs/>
          <w:b/>
        </w:rPr>
        <w:t xml:space="preserve">ltppxynvhw</w:t>
      </w:r>
      <w:r>
        <w:t xml:space="preserve"> </w:t>
      </w:r>
      <w:r>
        <w:t xml:space="preserve">are:</w:t>
      </w:r>
    </w:p>
    <w:p>
      <w:pPr>
        <w:numPr>
          <w:ilvl w:val="0"/>
          <w:numId w:val="1007"/>
        </w:numPr>
        <w:pStyle w:val="Compact"/>
      </w:pPr>
      <w:r>
        <w:rPr>
          <w:bCs/>
          <w:b/>
        </w:rPr>
        <w:t xml:space="preserve">Use Phase (20.00 kgCO2e):</w:t>
      </w:r>
      <w:r>
        <w:t xml:space="preserve"> </w:t>
      </w:r>
      <w:r>
        <w:t xml:space="preserve">This is the most significant hotspot, accounting for a large portion of the total PCF. This highlights the importance of optimizing product energy efficiency during operation and educating consumers on sustainable energy sourcing.</w:t>
      </w:r>
    </w:p>
    <w:p>
      <w:pPr>
        <w:numPr>
          <w:ilvl w:val="0"/>
          <w:numId w:val="1007"/>
        </w:numPr>
        <w:pStyle w:val="Compact"/>
      </w:pPr>
      <w:r>
        <w:rPr>
          <w:bCs/>
          <w:b/>
        </w:rPr>
        <w:t xml:space="preserve">Material Acquisition &amp; Pre-processing (15.95 kgCO2e):</w:t>
      </w:r>
      <w:r>
        <w:t xml:space="preserve"> </w:t>
      </w:r>
      <w:r>
        <w:t xml:space="preserve">The production of raw materials, particularly Aluminum Alloy, contributes substantially. Investigating lower-carbon material alternatives, increased recycled content, or supplier engagement for greening production are key.</w:t>
      </w:r>
    </w:p>
    <w:bookmarkEnd w:id="45"/>
    <w:bookmarkStart w:id="46" w:name="reliability-data-quality"/>
    <w:p>
      <w:pPr>
        <w:pStyle w:val="Heading3"/>
      </w:pPr>
      <w:r>
        <w:t xml:space="preserve">5.2. Reliability &amp; Data Quality</w:t>
      </w:r>
    </w:p>
    <w:p>
      <w:pPr>
        <w:pStyle w:val="FirstParagraph"/>
      </w:pPr>
      <w:r>
        <w:t xml:space="preserve">The reliability of this report is currently limited by the use of placeholder values for key parameters. In a full, auditable report, primary data (e.g., supplier-specific emission factors, actual transport logs, factory energy bills) would be collected and verified. The GHG Protocol\'s 2026 Scope 3 revisions emphasize this, proposing mandatory disaggregation of emissions data by source type (primary vs. secondary) to improve transparency and comparability. Furthermore, companies may need to disclose if their reported Scope 3 data is verified by a third party.</w:t>
      </w:r>
    </w:p>
    <w:p>
      <w:pPr>
        <w:pStyle w:val="BodyText"/>
      </w:pPr>
      <w:r>
        <w:t xml:space="preserve">The 95% coverage requirement for Scope 3 emissions is a critical aspect of the 2026 GHG Protocol updates. For this report, all identified material Scope 3 categories have been included. The Land Sector and Removals (LSR) Standard is also acknowledged, indicating that any land-related emissions or removals associated with raw materials or other lifecycle stages would be accounted for consistent with its guidance, which takes effect January 1, 2027.</w:t>
      </w:r>
    </w:p>
    <w:p>
      <w:pPr>
        <w:pStyle w:val="BodyText"/>
      </w:pPr>
      <w:r>
        <w:t xml:space="preserve">Future iterations of this analysis should focus on collecting higher quality primary data for all stages to enhance accuracy and support specific mitigation strategies.</w:t>
      </w:r>
    </w:p>
    <w:p>
      <w:pPr>
        <w:pStyle w:val="BodyText"/>
      </w:pPr>
      <w:r>
        <w:t xml:space="preserve">Confidential - Internal Use Only</w:t>
      </w:r>
    </w:p>
    <w:p>
      <w:pPr>
        <w:pStyle w:val="BodyText"/>
      </w:pPr>
      <w:r>
        <w:t xml:space="preserve">Page</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ltppxynvhw</dc:title>
  <dc:creator/>
  <dc:description>Detailed Product Carbon Footprint (PCF) analysis report for product ltppxynvhw by kntwzjmvyn, conducted by uvvrzhuwdr, Senior Sustainability Consultant. Adhering to GHG Protocol, including Scope 3 and LSR updates, this report provides a lifecycle assessment of emissions.</dc:description>
  <dc:language>en</dc:language>
  <cp:keywords/>
  <dcterms:created xsi:type="dcterms:W3CDTF">2026-07-15T01:23:14Z</dcterms:created>
  <dcterms:modified xsi:type="dcterms:W3CDTF">2026-07-15T01:23:14Z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