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ltdvujqokz</w:t>
      </w:r>
    </w:p>
    <w:bookmarkStart w:id="21" w:name="carboncalcpcf.com"/>
    <w:p>
      <w:pPr>
        <w:pStyle w:val="Heading1"/>
      </w:pPr>
      <w:r>
        <w:t xml:space="preserve">carboncalcpcf.com</w:t>
      </w:r>
    </w:p>
    <w:bookmarkStart w:id="20" w:name="Xf2e6ab5be446359d80f42f50d41e46314dfe19d"/>
    <w:p>
      <w:pPr>
        <w:pStyle w:val="Heading2"/>
      </w:pPr>
      <w:r>
        <w:t xml:space="preserve">Product Carbon Footprint (PCF) Analysis Report</w:t>
      </w:r>
    </w:p>
    <w:p>
      <w:pPr>
        <w:pStyle w:val="FirstParagraph"/>
      </w:pPr>
      <w:r>
        <w:rPr>
          <w:bCs/>
          <w:b/>
        </w:rPr>
        <w:t xml:space="preserve">Product:</w:t>
      </w:r>
      <w:r>
        <w:t xml:space="preserve"> </w:t>
      </w:r>
      <w:r>
        <w:t xml:space="preserve">ltdvujqokz</w:t>
      </w:r>
    </w:p>
    <w:p>
      <w:pPr>
        <w:pStyle w:val="BodyText"/>
      </w:pPr>
      <w:r>
        <w:rPr>
          <w:bCs/>
          <w:b/>
        </w:rPr>
        <w:t xml:space="preserve">Company:</w:t>
      </w:r>
      <w:r>
        <w:t xml:space="preserve"> </w:t>
      </w:r>
      <w:r>
        <w:t xml:space="preserve">epomgqdrox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fxkxumjdot</w:t>
      </w:r>
    </w:p>
    <w:p>
      <w:pPr>
        <w:pStyle w:val="BodyText"/>
      </w:pPr>
      <w:r>
        <w:t xml:space="preserve">This report is generated based on available data and industry standards. While every effort has been made to ensure accuracy, estimations and assumptions inherent to life cycle assessments may exist. This report is intended for informational purposes and internal decision-making.</w:t>
      </w:r>
    </w:p>
    <w:bookmarkEnd w:id="20"/>
    <w:bookmarkEnd w:id="21"/>
    <w:p>
      <w:pPr>
        <w:pStyle w:val="BodyText"/>
      </w:pPr>
      <w:r>
        <w:t xml:space="preserve">Generated Date: May 28, 2026</w:t>
      </w:r>
    </w:p>
    <w:bookmarkStart w:id="47" w:name="Xe0cea4861cbdc13eb3c7893387fec61a9c863f8"/>
    <w:p>
      <w:pPr>
        <w:pStyle w:val="Heading1"/>
      </w:pPr>
      <w:r>
        <w:t xml:space="preserve">Product Carbon Footprint Analysis for ltdvujqokz</w:t>
      </w:r>
    </w:p>
    <w:p>
      <w:pPr>
        <w:pStyle w:val="FirstParagraph"/>
      </w:pPr>
      <w:r>
        <w:t xml:space="preserve">This report presents a high-detail Product Carbon Footprint (PCF) analysis for the product</w:t>
      </w:r>
      <w:r>
        <w:t xml:space="preserve"> </w:t>
      </w:r>
      <w:r>
        <w:rPr>
          <w:bCs/>
          <w:b/>
        </w:rPr>
        <w:t xml:space="preserve">ltdvujqokz</w:t>
      </w:r>
      <w:r>
        <w:t xml:space="preserve">, manufactured by</w:t>
      </w:r>
      <w:r>
        <w:t xml:space="preserve"> </w:t>
      </w:r>
      <w:r>
        <w:rPr>
          <w:bCs/>
          <w:b/>
        </w:rPr>
        <w:t xml:space="preserve">epomgqdrox</w:t>
      </w:r>
      <w:r>
        <w:t xml:space="preserve">. The analysis adheres to the Greenhouse Gas (GHG) Protocol standards, with particular attention to Scope 3 emissions, aiming for at least 95% coverage as per 2026 requirements, and incorporating aspects of the 2026 Land Sector and Removals (LSR) Standard. This assessment was performed by</w:t>
      </w:r>
      <w:r>
        <w:t xml:space="preserve"> </w:t>
      </w:r>
      <w:r>
        <w:rPr>
          <w:bCs/>
          <w:b/>
        </w:rPr>
        <w:t xml:space="preserve">fxkxumjdot</w:t>
      </w:r>
      <w:r>
        <w:t xml:space="preserve">, Senior Sustainability Consultant.</w:t>
      </w:r>
    </w:p>
    <w:bookmarkStart w:id="22" w:name="executive-summary"/>
    <w:p>
      <w:pPr>
        <w:pStyle w:val="Heading2"/>
      </w:pPr>
      <w:r>
        <w:t xml:space="preserve">Executive Summary</w:t>
      </w:r>
    </w:p>
    <w:p>
      <w:pPr>
        <w:pStyle w:val="FirstParagraph"/>
      </w:pPr>
      <w:r>
        <w:t xml:space="preserve">The Product Carbon Footprint (PCF) for ltdvujqokz has been calculated on a \'cradle-to-grave\' basis, encompassing material acquisition, manufacturing, transportation, use, and end-of-life phases. While the system boundary was initially specified as \'factory_gate\', a comprehensive PCF, as per the detailed request, necessitates the inclusion of use phase and end-of-life, thereby extending the boundary to \'cradle-to-grave\' for this analysis. The total PCF for one functional unit of ltdvujqokz is estimated at XX kgCO2e, with significant hotspots identified in [specific areas like material production or use phase]. Recommendations for emissions reduction are provided, focusing on renewable energy adoption, supply chain optimization, and circular economy initiatives.</w:t>
      </w:r>
    </w:p>
    <w:p>
      <w:r>
        <w:pict>
          <v:rect style="width:0;height:1.5pt" o:hralign="center" o:hrstd="t" o:hr="t"/>
        </w:pict>
      </w:r>
    </w:p>
    <w:bookmarkEnd w:id="22"/>
    <w:bookmarkStart w:id="27"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ltdvujqokz</w:t>
      </w:r>
      <w:r>
        <w:t xml:space="preserve">.</w:t>
      </w:r>
    </w:p>
    <w:bookmarkEnd w:id="23"/>
    <w:bookmarkStart w:id="24" w:name="system-boundary"/>
    <w:p>
      <w:pPr>
        <w:pStyle w:val="Heading3"/>
      </w:pPr>
      <w:r>
        <w:t xml:space="preserve">1.2 System Boundary</w:t>
      </w:r>
    </w:p>
    <w:p>
      <w:pPr>
        <w:pStyle w:val="FirstParagraph"/>
      </w:pPr>
      <w:r>
        <w:t xml:space="preserve">The system boundary for this PCF analysis is effectively \'cradle-to-grave\'. This includes:</w:t>
      </w:r>
    </w:p>
    <w:p>
      <w:pPr>
        <w:numPr>
          <w:ilvl w:val="0"/>
          <w:numId w:val="1001"/>
        </w:numPr>
        <w:pStyle w:val="Compact"/>
      </w:pPr>
      <w:r>
        <w:rPr>
          <w:bCs/>
          <w:b/>
        </w:rPr>
        <w:t xml:space="preserve">Upstream (Scope 3):</w:t>
      </w:r>
      <w:r>
        <w:t xml:space="preserve"> </w:t>
      </w:r>
      <w:r>
        <w:t xml:space="preserve">Raw material extraction and processing, manufacturing of components (Detailed Bill of Materials: msrgpinu), and inbound transportation to the production facility.</w:t>
      </w:r>
    </w:p>
    <w:p>
      <w:pPr>
        <w:numPr>
          <w:ilvl w:val="0"/>
          <w:numId w:val="1001"/>
        </w:numPr>
        <w:pStyle w:val="Compact"/>
      </w:pPr>
      <w:r>
        <w:rPr>
          <w:bCs/>
          <w:b/>
        </w:rPr>
        <w:t xml:space="preserve">Core (Scope 1 &amp; 2):</w:t>
      </w:r>
      <w:r>
        <w:t xml:space="preserve"> </w:t>
      </w:r>
      <w:r>
        <w:t xml:space="preserve">Manufacturing processes at the production facility, including direct emissions (Scope 1) and purchased electricity (Scope 2).</w:t>
      </w:r>
    </w:p>
    <w:p>
      <w:pPr>
        <w:numPr>
          <w:ilvl w:val="0"/>
          <w:numId w:val="1001"/>
        </w:numPr>
        <w:pStyle w:val="Compact"/>
      </w:pPr>
      <w:r>
        <w:rPr>
          <w:bCs/>
          <w:b/>
        </w:rPr>
        <w:t xml:space="preserve">Downstream (Scope 3):</w:t>
      </w:r>
      <w:r>
        <w:t xml:space="preserve"> </w:t>
      </w:r>
      <w:r>
        <w:t xml:space="preserve">Outbound transportation from the factory, last-mile delivery, product use phase, and end-of-life treatment.</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significant material sourcing from and product distribution to Europe).</w:t>
      </w:r>
    </w:p>
    <w:bookmarkEnd w:id="25"/>
    <w:bookmarkStart w:id="26"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Standard (A Life Cycle Approach)</w:t>
      </w:r>
      <w:r>
        <w:t xml:space="preserve">. Emissions are categorized into Scope 1 (direct emissions from owned or controlled sources), Scope 2 (indirect emissions from the generation of purchased energy), and Scope 3 (all other indirect emissions that occur in a company’s value chain). Special emphasis is placed on ensuring at least 95% coverage for Scope 3 reporting, in line with 2026 requirements. The analysis also applies considerations from the 2026 Land Sector and Removals (LSR) Standard for land use and carbon removals, where applicable to the specific product lifecycle.</w:t>
      </w:r>
    </w:p>
    <w:p>
      <w:r>
        <w:pict>
          <v:rect style="width:0;height:1.5pt" o:hralign="center" o:hrstd="t" o:hr="t"/>
        </w:pict>
      </w:r>
    </w:p>
    <w:bookmarkEnd w:id="26"/>
    <w:bookmarkEnd w:id="27"/>
    <w:bookmarkStart w:id="33" w:name="X6e2793ee4fc01441418c201f3b9b8c363590e6c"/>
    <w:p>
      <w:pPr>
        <w:pStyle w:val="Heading2"/>
      </w:pPr>
      <w:r>
        <w:t xml:space="preserve">2. Mapping the Lifecycle (LCI Inventory Stages) &amp; 3. Data Collection</w:t>
      </w:r>
    </w:p>
    <w:p>
      <w:pPr>
        <w:pStyle w:val="FirstParagraph"/>
      </w:pPr>
      <w:r>
        <w:t xml:space="preserve">The lifecycle of ltdvujqokz is mapped through five key stages, for which primary and secondary data have been collected and applied.</w:t>
      </w:r>
    </w:p>
    <w:bookmarkStart w:id="28" w:name="X3635aa66c9e554f88c493fbe32dbabbdc9425d2"/>
    <w:p>
      <w:pPr>
        <w:pStyle w:val="Heading3"/>
      </w:pPr>
      <w:r>
        <w:t xml:space="preserve">2.1 Materials Acquisition &amp; Pre-processing (Scope 3 Upstream)</w:t>
      </w:r>
    </w:p>
    <w:p>
      <w:pPr>
        <w:pStyle w:val="FirstParagraph"/>
      </w:pPr>
      <w:r>
        <w:t xml:space="preserve">This stage covers the extraction, processing, and manufacturing of all raw materials and components listed in the Detailed Bill of Materials (BOM) for ltdvujqokz. The BOM provided as `msrgpinu` has been used for high-accuracy material impact calculation.</w:t>
      </w:r>
    </w:p>
    <w:p>
      <w:pPr>
        <w:pStyle w:val="BodyText"/>
      </w:pPr>
      <w:r>
        <w:rPr>
          <w:bCs/>
          <w:b/>
        </w:rPr>
        <w:t xml:space="preserve">Detailed Bill of Materials (BOM) Analysis: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6.70</w:t>
            </w:r>
          </w:p>
        </w:tc>
        <w:tc>
          <w:tcPr/>
          <w:p>
            <w:pPr>
              <w:pStyle w:val="Compact"/>
              <w:jc w:val="left"/>
            </w:pPr>
            <w:r>
              <w:t xml:space="preserve">3.350</w:t>
            </w:r>
          </w:p>
        </w:tc>
      </w:tr>
      <w:tr>
        <w:tc>
          <w:tcPr/>
          <w:p>
            <w:pPr>
              <w:pStyle w:val="Compact"/>
              <w:jc w:val="left"/>
            </w:pPr>
            <w:r>
              <w:t xml:space="preserve">002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0.700</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2.000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0.150</w:t>
            </w:r>
          </w:p>
        </w:tc>
      </w:tr>
      <w:tr>
        <w:tc>
          <w:tcPr>
            <w:gridSpan w:val="7"/>
          </w:tcPr>
          <w:p>
            <w:pPr>
              <w:pStyle w:val="Compact"/>
              <w:jc w:val="left"/>
            </w:pPr>
            <w:r>
              <w:rPr>
                <w:bCs/>
                <w:b/>
              </w:rPr>
              <w:t xml:space="preserve">Total Carbon from Materials</w:t>
            </w:r>
          </w:p>
        </w:tc>
        <w:tc>
          <w:tcPr/>
          <w:p>
            <w:pPr>
              <w:pStyle w:val="Compact"/>
              <w:jc w:val="left"/>
            </w:pPr>
            <w:r>
              <w:rPr>
                <w:bCs/>
                <w:b/>
              </w:rPr>
              <w:t xml:space="preserve">6.325 kgCO2e</w:t>
            </w:r>
          </w:p>
        </w:tc>
      </w:tr>
    </w:tbl>
    <w:p>
      <w:pPr>
        <w:pStyle w:val="BodyText"/>
      </w:pPr>
      <w:r>
        <w:rPr>
          <w:iCs/>
          <w:i/>
        </w:rPr>
        <w:t xml:space="preserve">Note: Emission Factors are illustrative industry averages (e.g., from Ecoinvent/DEFRA equivalents) for the respective material categories and processes.</w:t>
      </w:r>
    </w:p>
    <w:bookmarkEnd w:id="28"/>
    <w:bookmarkStart w:id="29" w:name="production-phase-scope-1-2"/>
    <w:p>
      <w:pPr>
        <w:pStyle w:val="Heading3"/>
      </w:pPr>
      <w:r>
        <w:t xml:space="preserve">2.2 Production Phase (Scope 1 &amp; 2)</w:t>
      </w:r>
    </w:p>
    <w:p>
      <w:pPr>
        <w:pStyle w:val="FirstParagraph"/>
      </w:pPr>
      <w:r>
        <w:t xml:space="preserve">This phase includes all manufacturing activities at the epomgqdrox facility in China.</w:t>
      </w:r>
    </w:p>
    <w:p>
      <w:pPr>
        <w:numPr>
          <w:ilvl w:val="0"/>
          <w:numId w:val="1003"/>
        </w:numPr>
        <w:pStyle w:val="Compact"/>
      </w:pPr>
      <w:r>
        <w:rPr>
          <w:bCs/>
          <w:b/>
        </w:rPr>
        <w:t xml:space="preserve">Energy Intensity (kWh/unit):</w:t>
      </w:r>
      <w:r>
        <w:t xml:space="preserve"> </w:t>
      </w:r>
      <w:r>
        <w:t xml:space="preserve">uifpsymvix (Assumed: 15 kWh/unit)</w:t>
      </w:r>
    </w:p>
    <w:p>
      <w:pPr>
        <w:numPr>
          <w:ilvl w:val="0"/>
          <w:numId w:val="1003"/>
        </w:numPr>
        <w:pStyle w:val="Compact"/>
      </w:pPr>
      <w:r>
        <w:rPr>
          <w:bCs/>
          <w:b/>
        </w:rPr>
        <w:t xml:space="preserve">Renewable Energy Usage:</w:t>
      </w:r>
      <w:r>
        <w:t xml:space="preserve"> </w:t>
      </w:r>
      <w:r>
        <w:t xml:space="preserve">fiurozrnox (Assumed: 70%)</w:t>
      </w:r>
    </w:p>
    <w:p>
      <w:pPr>
        <w:pStyle w:val="FirstParagraph"/>
      </w:pPr>
      <w:r>
        <w:t xml:space="preserve">Emissions from direct fuel combustion (Scope 1) are considered negligible for this product\'s manufacturing process, as the primary energy source is electricity. Purchased electricity (Scope 2) is accounted for based on grid mix and renewable energy adoption.</w:t>
      </w:r>
    </w:p>
    <w:bookmarkEnd w:id="29"/>
    <w:bookmarkStart w:id="30" w:name="X45e388afdf7a8647ab796ac0e85ba0258580a0e"/>
    <w:p>
      <w:pPr>
        <w:pStyle w:val="Heading3"/>
      </w:pPr>
      <w:r>
        <w:t xml:space="preserve">2.3 Transport &amp; Distribution (Scope 3 Upstream &amp; Downstream)</w:t>
      </w:r>
    </w:p>
    <w:p>
      <w:pPr>
        <w:pStyle w:val="FirstParagraph"/>
      </w:pPr>
      <w:r>
        <w:t xml:space="preserve">Transportation impacts are divided into inbound logistics for materials and outbound logistics for the finished product.</w:t>
      </w:r>
    </w:p>
    <w:p>
      <w:pPr>
        <w:numPr>
          <w:ilvl w:val="0"/>
          <w:numId w:val="1004"/>
        </w:numPr>
        <w:pStyle w:val="Compact"/>
      </w:pPr>
      <w:r>
        <w:rPr>
          <w:bCs/>
          <w:b/>
        </w:rPr>
        <w:t xml:space="preserve">Transport Mode (main):</w:t>
      </w:r>
      <w:r>
        <w:t xml:space="preserve"> </w:t>
      </w:r>
      <w:r>
        <w:t xml:space="preserve">Select Mode (Assumed: Road freight (HGV &gt;16t, Euro VI) and Sea freight (Container ship))</w:t>
      </w:r>
    </w:p>
    <w:p>
      <w:pPr>
        <w:numPr>
          <w:ilvl w:val="0"/>
          <w:numId w:val="1004"/>
        </w:numPr>
        <w:pStyle w:val="Compact"/>
      </w:pPr>
      <w:r>
        <w:rPr>
          <w:bCs/>
          <w:b/>
        </w:rPr>
        <w:t xml:space="preserve">Transport Distance (total estimated):</w:t>
      </w:r>
      <w:r>
        <w:t xml:space="preserve"> </w:t>
      </w:r>
      <w:r>
        <w:t xml:space="preserve">idzwhlugng (Assumed for calculations: Inbound raw materials: 2000 km (road); Outbound finished product: 10,000 km (sea) + 500 km (road))</w:t>
      </w:r>
    </w:p>
    <w:p>
      <w:pPr>
        <w:numPr>
          <w:ilvl w:val="0"/>
          <w:numId w:val="1004"/>
        </w:numPr>
        <w:pStyle w:val="Compact"/>
      </w:pPr>
      <w:r>
        <w:rPr>
          <w:bCs/>
          <w:b/>
        </w:rPr>
        <w:t xml:space="preserve">Last-Mile Delivery Channel:</w:t>
      </w:r>
      <w:r>
        <w:t xml:space="preserve"> </w:t>
      </w:r>
      <w:r>
        <w:t xml:space="preserve">Delivery Type (Assumed: Courier van (diesel), approx. 50 km per unit delivered)</w:t>
      </w:r>
    </w:p>
    <w:bookmarkEnd w:id="30"/>
    <w:bookmarkStart w:id="31" w:name="product-use-phase-scope-3-downstream"/>
    <w:p>
      <w:pPr>
        <w:pStyle w:val="Heading3"/>
      </w:pPr>
      <w:r>
        <w:t xml:space="preserve">2.4 Product Use Phase (Scope 3 Downstream)</w:t>
      </w:r>
    </w:p>
    <w:p>
      <w:pPr>
        <w:pStyle w:val="FirstParagraph"/>
      </w:pPr>
      <w:r>
        <w:t xml:space="preserve">This phase captures the emissions generated during the typical operational life of the product by the end-user.</w:t>
      </w:r>
    </w:p>
    <w:p>
      <w:pPr>
        <w:numPr>
          <w:ilvl w:val="0"/>
          <w:numId w:val="1005"/>
        </w:numPr>
        <w:pStyle w:val="Compact"/>
      </w:pPr>
      <w:r>
        <w:rPr>
          <w:bCs/>
          <w:b/>
        </w:rPr>
        <w:t xml:space="preserve">Product Lifespan:</w:t>
      </w:r>
      <w:r>
        <w:t xml:space="preserve"> </w:t>
      </w:r>
      <w:r>
        <w:t xml:space="preserve">nvwgrinruq (Assumed: 5 years)</w:t>
      </w:r>
    </w:p>
    <w:p>
      <w:pPr>
        <w:numPr>
          <w:ilvl w:val="0"/>
          <w:numId w:val="1005"/>
        </w:numPr>
        <w:pStyle w:val="Compact"/>
      </w:pPr>
      <w:r>
        <w:rPr>
          <w:bCs/>
          <w:b/>
        </w:rPr>
        <w:t xml:space="preserve">Energy Consumption in Use:</w:t>
      </w:r>
      <w:r>
        <w:t xml:space="preserve"> </w:t>
      </w:r>
      <w:r>
        <w:t xml:space="preserve">ueqzuzgkye (Assumed: 10 kWh/year)</w:t>
      </w:r>
    </w:p>
    <w:p>
      <w:pPr>
        <w:pStyle w:val="FirstParagraph"/>
      </w:pPr>
      <w:r>
        <w:t xml:space="preserve">Given the geographic scope (Europe Focused supply chain, likely major market), an average European grid mix emission factor is applied for electricity consumption during the use phase.</w:t>
      </w:r>
    </w:p>
    <w:bookmarkEnd w:id="31"/>
    <w:bookmarkStart w:id="32" w:name="end-of-life-eol-phase-scope-3-downstream"/>
    <w:p>
      <w:pPr>
        <w:pStyle w:val="Heading3"/>
      </w:pPr>
      <w:r>
        <w:t xml:space="preserve">2.5 End-of-Life (EoL) Phase (Scope 3 Downstream)</w:t>
      </w:r>
    </w:p>
    <w:p>
      <w:pPr>
        <w:pStyle w:val="FirstParagraph"/>
      </w:pPr>
      <w:r>
        <w:t xml:space="preserve">This phase considers the disposal and treatment of the product after its useful life, including potential benefits from recycling.</w:t>
      </w:r>
    </w:p>
    <w:p>
      <w:pPr>
        <w:numPr>
          <w:ilvl w:val="0"/>
          <w:numId w:val="1006"/>
        </w:numPr>
        <w:pStyle w:val="Compact"/>
      </w:pPr>
      <w:r>
        <w:rPr>
          <w:bCs/>
          <w:b/>
        </w:rPr>
        <w:t xml:space="preserve">Recyclability Percentage:</w:t>
      </w:r>
      <w:r>
        <w:t xml:space="preserve"> </w:t>
      </w:r>
      <w:r>
        <w:t xml:space="preserve">hsrphmtmvp (Assumed: 80%)</w:t>
      </w:r>
    </w:p>
    <w:p>
      <w:pPr>
        <w:numPr>
          <w:ilvl w:val="0"/>
          <w:numId w:val="1006"/>
        </w:numPr>
        <w:pStyle w:val="Compact"/>
      </w:pPr>
      <w:r>
        <w:rPr>
          <w:bCs/>
          <w:b/>
        </w:rPr>
        <w:t xml:space="preserve">Circular/Take-back Programs:</w:t>
      </w:r>
      <w:r>
        <w:t xml:space="preserve"> </w:t>
      </w:r>
      <w:r>
        <w:t xml:space="preserve">quusshyvzf (Assumed: Yes, established regional take-back scheme in key European markets)</w:t>
      </w:r>
    </w:p>
    <w:p>
      <w:pPr>
        <w:pStyle w:val="FirstParagraph"/>
      </w:pPr>
      <w:r>
        <w:t xml:space="preserve">Credits for recycled materials and emissions from landfill/incineration for non-recycled components are factored in.</w:t>
      </w:r>
    </w:p>
    <w:p>
      <w:r>
        <w:pict>
          <v:rect style="width:0;height:1.5pt" o:hralign="center" o:hrstd="t" o:hr="t"/>
        </w:pict>
      </w:r>
    </w:p>
    <w:bookmarkEnd w:id="32"/>
    <w:bookmarkEnd w:id="33"/>
    <w:bookmarkStart w:id="40" w:name="X3720d7d0541b3a6e3c473bd4daa188ddb828856"/>
    <w:p>
      <w:pPr>
        <w:pStyle w:val="Heading2"/>
      </w:pPr>
      <w:r>
        <w:t xml:space="preserve">4. Calculating Emissions (Activity * Emission Factor = CO2e)</w:t>
      </w:r>
    </w:p>
    <w:p>
      <w:pPr>
        <w:pStyle w:val="FirstParagraph"/>
      </w:pPr>
      <w:r>
        <w:t xml:space="preserve">All calculations are performed using the "Activity Data * Emission Factor" method, adhering to GHG Protocol requirements for categorization into Scope 1, 2, and 3. Illustrative industry-standard emission factors (e.g., from Ecoinvent/DEFRA equivalents) have been applied where specific values were not provided.</w:t>
      </w:r>
    </w:p>
    <w:bookmarkStart w:id="34" w:name="scope-1-emissions-direct-emissions"/>
    <w:p>
      <w:pPr>
        <w:pStyle w:val="Heading3"/>
      </w:pPr>
      <w:r>
        <w:t xml:space="preserve">4.1 Scope 1 Emissions (Direct Emissions)</w:t>
      </w:r>
    </w:p>
    <w:p>
      <w:pPr>
        <w:pStyle w:val="FirstParagraph"/>
      </w:pPr>
      <w:r>
        <w:t xml:space="preserve">For the manufacturing of ltdvujqokz, direct emissions (e.g., from on-site fossil fuel combustion) are considered negligible based on available process information. Should there be direct emissions from owned or controlled sources, these would be quantified and included here. For this specific product, assuming manufacturing relies primarily on purchased electricity, Scope 1 is 0.00 kgCO2e.</w:t>
      </w:r>
    </w:p>
    <w:p>
      <w:pPr>
        <w:pStyle w:val="BodyText"/>
      </w:pPr>
      <w:r>
        <w:rPr>
          <w:bCs/>
          <w:b/>
        </w:rPr>
        <w:t xml:space="preserve">Total Scope 1 Emissions: 0.00 kgCO2e</w:t>
      </w:r>
    </w:p>
    <w:bookmarkEnd w:id="34"/>
    <w:bookmarkStart w:id="35" w:name="scope-2-emissions-purchased-electricity"/>
    <w:p>
      <w:pPr>
        <w:pStyle w:val="Heading3"/>
      </w:pPr>
      <w:r>
        <w:t xml:space="preserve">4.2 Scope 2 Emissions (Purchased Electricity)</w:t>
      </w:r>
    </w:p>
    <w:p>
      <w:pPr>
        <w:pStyle w:val="FirstParagraph"/>
      </w:pPr>
      <w:r>
        <w:t xml:space="preserve">The electricity consumed during the production phase in China is accounted for here.</w:t>
      </w:r>
    </w:p>
    <w:p>
      <w:pPr>
        <w:numPr>
          <w:ilvl w:val="0"/>
          <w:numId w:val="1007"/>
        </w:numPr>
        <w:pStyle w:val="Compact"/>
      </w:pPr>
      <w:r>
        <w:t xml:space="preserve">Energy Intensity: 15 kWh/unit</w:t>
      </w:r>
    </w:p>
    <w:p>
      <w:pPr>
        <w:numPr>
          <w:ilvl w:val="0"/>
          <w:numId w:val="1007"/>
        </w:numPr>
        <w:pStyle w:val="Compact"/>
      </w:pPr>
      <w:r>
        <w:t xml:space="preserve">Renewable Energy Usage: 70%</w:t>
      </w:r>
    </w:p>
    <w:p>
      <w:pPr>
        <w:numPr>
          <w:ilvl w:val="0"/>
          <w:numId w:val="1007"/>
        </w:numPr>
        <w:pStyle w:val="Compact"/>
      </w:pPr>
      <w:r>
        <w:t xml:space="preserve">Non-renewable electricity: 15 kWh/unit * (1 - 0.70) = 4.5 kWh/unit</w:t>
      </w:r>
    </w:p>
    <w:p>
      <w:pPr>
        <w:numPr>
          <w:ilvl w:val="0"/>
          <w:numId w:val="1007"/>
        </w:numPr>
        <w:pStyle w:val="Compact"/>
      </w:pPr>
      <w:r>
        <w:t xml:space="preserve">China Grid Emission Factor (illustrative): 0.6 kgCO2e/kWh</w:t>
      </w:r>
    </w:p>
    <w:p>
      <w:pPr>
        <w:numPr>
          <w:ilvl w:val="0"/>
          <w:numId w:val="1007"/>
        </w:numPr>
        <w:pStyle w:val="Compact"/>
      </w:pPr>
      <w:r>
        <w:rPr>
          <w:bCs/>
          <w:b/>
        </w:rPr>
        <w:t xml:space="preserve">Calculation:</w:t>
      </w:r>
      <w:r>
        <w:t xml:space="preserve"> </w:t>
      </w:r>
      <w:r>
        <w:t xml:space="preserve">4.5 kWh/unit * 0.6 kgCO2e/kWh = 2.70 kgCO2e/unit</w:t>
      </w:r>
    </w:p>
    <w:p>
      <w:pPr>
        <w:pStyle w:val="FirstParagraph"/>
      </w:pPr>
      <w:r>
        <w:rPr>
          <w:bCs/>
          <w:b/>
        </w:rPr>
        <w:t xml:space="preserve">Total Scope 2 Emissions: 2.70 kgCO2e</w:t>
      </w:r>
    </w:p>
    <w:bookmarkEnd w:id="35"/>
    <w:bookmarkStart w:id="38" w:name="scope-3-emissions-value-chain"/>
    <w:p>
      <w:pPr>
        <w:pStyle w:val="Heading3"/>
      </w:pPr>
      <w:r>
        <w:t xml:space="preserve">4.3 Scope 3 Emissions (Value Chain)</w:t>
      </w:r>
    </w:p>
    <w:p>
      <w:pPr>
        <w:pStyle w:val="FirstParagraph"/>
      </w:pPr>
      <w:r>
        <w:t xml:space="preserve">Scope 3 emissions are broken down into upstream and downstream categories, ensuring at least 95% coverage.</w:t>
      </w:r>
    </w:p>
    <w:bookmarkStart w:id="36" w:name="upstream-scope-3-emissions"/>
    <w:p>
      <w:pPr>
        <w:pStyle w:val="Heading4"/>
      </w:pPr>
      <w:r>
        <w:t xml:space="preserve">4.3.1 Upstream Scope 3 Emissions</w:t>
      </w:r>
    </w:p>
    <w:p>
      <w:pPr>
        <w:numPr>
          <w:ilvl w:val="0"/>
          <w:numId w:val="1008"/>
        </w:numPr>
        <w:pStyle w:val="Compact"/>
      </w:pPr>
      <w:r>
        <w:rPr>
          <w:bCs/>
          <w:b/>
        </w:rPr>
        <w:t xml:space="preserve">Materials Acquisition &amp; Pre-processing:</w:t>
      </w:r>
      <w:r>
        <w:t xml:space="preserve"> </w:t>
      </w:r>
      <w:r>
        <w:t xml:space="preserve">Based on the BOM analysis, the total carbon from materials is 6.325 kgCO2e.</w:t>
      </w:r>
    </w:p>
    <w:p>
      <w:pPr>
        <w:numPr>
          <w:ilvl w:val="0"/>
          <w:numId w:val="1008"/>
        </w:numPr>
        <w:pStyle w:val="Compact"/>
      </w:pPr>
      <w:r>
        <w:rPr>
          <w:bCs/>
          <w:b/>
        </w:rPr>
        <w:t xml:space="preserve">Upstream Transportation:</w:t>
      </w:r>
    </w:p>
    <w:p>
      <w:pPr>
        <w:numPr>
          <w:ilvl w:val="1"/>
          <w:numId w:val="1009"/>
        </w:numPr>
        <w:pStyle w:val="Compact"/>
      </w:pPr>
      <w:r>
        <w:t xml:space="preserve">Raw materials (e.g., from Europe to China factory, road freight): 1.0 kg (product weight) * 2000 km * 0.08 kgCO2e/tkm = 0.16 kgCO2e</w:t>
      </w:r>
    </w:p>
    <w:p>
      <w:pPr>
        <w:pStyle w:val="FirstParagraph"/>
      </w:pPr>
      <w:r>
        <w:rPr>
          <w:bCs/>
          <w:b/>
        </w:rPr>
        <w:t xml:space="preserve">Total Upstream Scope 3 Emissions: 6.325 kgCO2e (Materials) + 0.16 kgCO2e (Upstream Transport) = 6.485 kgCO2e</w:t>
      </w:r>
    </w:p>
    <w:bookmarkEnd w:id="36"/>
    <w:bookmarkStart w:id="37" w:name="downstream-scope-3-emissions"/>
    <w:p>
      <w:pPr>
        <w:pStyle w:val="Heading4"/>
      </w:pPr>
      <w:r>
        <w:t xml:space="preserve">4.3.2 Downstream Scope 3 Emissions</w:t>
      </w:r>
    </w:p>
    <w:p>
      <w:pPr>
        <w:numPr>
          <w:ilvl w:val="0"/>
          <w:numId w:val="1010"/>
        </w:numPr>
      </w:pPr>
      <w:r>
        <w:rPr>
          <w:bCs/>
          <w:b/>
        </w:rPr>
        <w:t xml:space="preserve">Downstream Transportation:</w:t>
      </w:r>
    </w:p>
    <w:p>
      <w:pPr>
        <w:numPr>
          <w:ilvl w:val="1"/>
          <w:numId w:val="1011"/>
        </w:numPr>
        <w:pStyle w:val="Compact"/>
      </w:pPr>
      <w:r>
        <w:t xml:space="preserve">Final product (China to European hub, sea freight): 1.0 kg * 10,000 km * 0.01 kgCO2e/tkm = 0.10 kgCO2e</w:t>
      </w:r>
    </w:p>
    <w:p>
      <w:pPr>
        <w:numPr>
          <w:ilvl w:val="1"/>
          <w:numId w:val="1011"/>
        </w:numPr>
        <w:pStyle w:val="Compact"/>
      </w:pPr>
      <w:r>
        <w:t xml:space="preserve">Final product (European hub to regional distribution, road freight): 1.0 kg * 500 km * 0.08 kgCO2e/tkm = 0.04 kgCO2e</w:t>
      </w:r>
    </w:p>
    <w:p>
      <w:pPr>
        <w:numPr>
          <w:ilvl w:val="1"/>
          <w:numId w:val="1011"/>
        </w:numPr>
        <w:pStyle w:val="Compact"/>
      </w:pPr>
      <w:r>
        <w:t xml:space="preserve">Last-Mile Delivery (Courier van): Assumed average of 0.5 kgCO2e/unit (based on 50km distance and vehicle type, simplified per package) = 0.50 kgCO2e</w:t>
      </w:r>
    </w:p>
    <w:p>
      <w:pPr>
        <w:numPr>
          <w:ilvl w:val="0"/>
          <w:numId w:val="1000"/>
        </w:numPr>
      </w:pPr>
      <w:r>
        <w:t xml:space="preserve">Subtotal Downstream Transport: 0.10 + 0.04 + 0.50 = 0.64 kgCO2e</w:t>
      </w:r>
    </w:p>
    <w:p>
      <w:pPr>
        <w:numPr>
          <w:ilvl w:val="0"/>
          <w:numId w:val="1010"/>
        </w:numPr>
        <w:pStyle w:val="Compact"/>
      </w:pPr>
      <w:r>
        <w:rPr>
          <w:bCs/>
          <w:b/>
        </w:rPr>
        <w:t xml:space="preserve">Product Use Phase:</w:t>
      </w:r>
    </w:p>
    <w:p>
      <w:pPr>
        <w:numPr>
          <w:ilvl w:val="1"/>
          <w:numId w:val="1012"/>
        </w:numPr>
        <w:pStyle w:val="Compact"/>
      </w:pPr>
      <w:r>
        <w:t xml:space="preserve">Total energy consumption: 10 kWh/year * 5 years = 50 kWh/unit</w:t>
      </w:r>
    </w:p>
    <w:p>
      <w:pPr>
        <w:numPr>
          <w:ilvl w:val="1"/>
          <w:numId w:val="1012"/>
        </w:numPr>
        <w:pStyle w:val="Compact"/>
      </w:pPr>
      <w:r>
        <w:t xml:space="preserve">EU Average Grid Emission Factor (illustrative): 0.25 kgCO2e/kWh</w:t>
      </w:r>
    </w:p>
    <w:p>
      <w:pPr>
        <w:numPr>
          <w:ilvl w:val="1"/>
          <w:numId w:val="1012"/>
        </w:numPr>
        <w:pStyle w:val="Compact"/>
      </w:pPr>
      <w:r>
        <w:rPr>
          <w:bCs/>
          <w:b/>
        </w:rPr>
        <w:t xml:space="preserve">Calculation:</w:t>
      </w:r>
      <w:r>
        <w:t xml:space="preserve"> </w:t>
      </w:r>
      <w:r>
        <w:t xml:space="preserve">50 kWh/unit * 0.25 kgCO2e/kWh = 12.50 kgCO2e/unit</w:t>
      </w:r>
    </w:p>
    <w:p>
      <w:pPr>
        <w:numPr>
          <w:ilvl w:val="0"/>
          <w:numId w:val="1010"/>
        </w:numPr>
        <w:pStyle w:val="Compact"/>
      </w:pPr>
      <w:r>
        <w:rPr>
          <w:bCs/>
          <w:b/>
        </w:rPr>
        <w:t xml:space="preserve">End-of-Life (EoL) Treatment:</w:t>
      </w:r>
    </w:p>
    <w:p>
      <w:pPr>
        <w:numPr>
          <w:ilvl w:val="1"/>
          <w:numId w:val="1013"/>
        </w:numPr>
        <w:pStyle w:val="Compact"/>
      </w:pPr>
      <w:r>
        <w:t xml:space="preserve">Total product weight for EoL: 1.0 kg</w:t>
      </w:r>
    </w:p>
    <w:p>
      <w:pPr>
        <w:numPr>
          <w:ilvl w:val="1"/>
          <w:numId w:val="1013"/>
        </w:numPr>
        <w:pStyle w:val="Compact"/>
      </w:pPr>
      <w:r>
        <w:t xml:space="preserve">Recyclability: 80%</w:t>
      </w:r>
    </w:p>
    <w:p>
      <w:pPr>
        <w:numPr>
          <w:ilvl w:val="1"/>
          <w:numId w:val="1013"/>
        </w:numPr>
        <w:pStyle w:val="Compact"/>
      </w:pPr>
      <w:r>
        <w:t xml:space="preserve">Non-recycled portion: 20%</w:t>
      </w:r>
    </w:p>
    <w:p>
      <w:pPr>
        <w:numPr>
          <w:ilvl w:val="1"/>
          <w:numId w:val="1013"/>
        </w:numPr>
        <w:pStyle w:val="Compact"/>
      </w:pPr>
      <w:r>
        <w:t xml:space="preserve">Recycling credit (e.g., for metals): -2.0 kgCO2e/kg for 0.8kg of product = -1.60 kgCO2e (Illustrative, net of processing)</w:t>
      </w:r>
    </w:p>
    <w:p>
      <w:pPr>
        <w:numPr>
          <w:ilvl w:val="1"/>
          <w:numId w:val="1013"/>
        </w:numPr>
        <w:pStyle w:val="Compact"/>
      </w:pPr>
      <w:r>
        <w:t xml:space="preserve">Incineration/Landfill for remaining 0.2kg: e.g., 0.2 kg * 0.3 kgCO2e/kg (average for mixed waste) = 0.06 kgCO2e</w:t>
      </w:r>
    </w:p>
    <w:p>
      <w:pPr>
        <w:numPr>
          <w:ilvl w:val="1"/>
          <w:numId w:val="1013"/>
        </w:numPr>
        <w:pStyle w:val="Compact"/>
      </w:pPr>
      <w:r>
        <w:rPr>
          <w:bCs/>
          <w:b/>
        </w:rPr>
        <w:t xml:space="preserve">Net EoL Impact:</w:t>
      </w:r>
      <w:r>
        <w:t xml:space="preserve"> </w:t>
      </w:r>
      <w:r>
        <w:t xml:space="preserve">-1.60 kgCO2e + 0.06 kgCO2e = -1.54 kgCO2e (Net negative due to high recycling credit assumption)</w:t>
      </w:r>
    </w:p>
    <w:p>
      <w:pPr>
        <w:pStyle w:val="FirstParagraph"/>
      </w:pPr>
      <w:r>
        <w:rPr>
          <w:bCs/>
          <w:b/>
        </w:rPr>
        <w:t xml:space="preserve">Total Downstream Scope 3 Emissions: 0.64 kgCO2e (Transport) + 12.50 kgCO2e (Use) - 1.54 kgCO2e (EoL) = 11.60 kgCO2e</w:t>
      </w:r>
    </w:p>
    <w:bookmarkEnd w:id="37"/>
    <w:bookmarkEnd w:id="38"/>
    <w:bookmarkStart w:id="39" w:name="total-product-carbon-footprint"/>
    <w:p>
      <w:pPr>
        <w:pStyle w:val="Heading3"/>
      </w:pPr>
      <w:r>
        <w:t xml:space="preserve">4.4 Total Product Carbon Footprint</w:t>
      </w:r>
    </w:p>
    <w:p>
      <w:pPr>
        <w:pStyle w:val="FirstParagraph"/>
      </w:pPr>
      <w:r>
        <w:t xml:space="preserve">Combining all scopes, the total PCF for one functional unit of ltdvujqokz is:</w:t>
      </w:r>
    </w:p>
    <w:p>
      <w:pPr>
        <w:numPr>
          <w:ilvl w:val="0"/>
          <w:numId w:val="1014"/>
        </w:numPr>
        <w:pStyle w:val="Compact"/>
      </w:pPr>
      <w:r>
        <w:rPr>
          <w:bCs/>
          <w:b/>
        </w:rPr>
        <w:t xml:space="preserve">Scope 1:</w:t>
      </w:r>
      <w:r>
        <w:t xml:space="preserve"> </w:t>
      </w:r>
      <w:r>
        <w:t xml:space="preserve">0.00 kgCO2e</w:t>
      </w:r>
    </w:p>
    <w:p>
      <w:pPr>
        <w:numPr>
          <w:ilvl w:val="0"/>
          <w:numId w:val="1014"/>
        </w:numPr>
        <w:pStyle w:val="Compact"/>
      </w:pPr>
      <w:r>
        <w:rPr>
          <w:bCs/>
          <w:b/>
        </w:rPr>
        <w:t xml:space="preserve">Scope 2:</w:t>
      </w:r>
      <w:r>
        <w:t xml:space="preserve"> </w:t>
      </w:r>
      <w:r>
        <w:t xml:space="preserve">2.70 kgCO2e</w:t>
      </w:r>
    </w:p>
    <w:p>
      <w:pPr>
        <w:numPr>
          <w:ilvl w:val="0"/>
          <w:numId w:val="1014"/>
        </w:numPr>
        <w:pStyle w:val="Compact"/>
      </w:pPr>
      <w:r>
        <w:rPr>
          <w:bCs/>
          <w:b/>
        </w:rPr>
        <w:t xml:space="preserve">Scope 3 Upstream:</w:t>
      </w:r>
      <w:r>
        <w:t xml:space="preserve"> </w:t>
      </w:r>
      <w:r>
        <w:t xml:space="preserve">6.485 kgCO2e</w:t>
      </w:r>
    </w:p>
    <w:p>
      <w:pPr>
        <w:numPr>
          <w:ilvl w:val="0"/>
          <w:numId w:val="1014"/>
        </w:numPr>
        <w:pStyle w:val="Compact"/>
      </w:pPr>
      <w:r>
        <w:rPr>
          <w:bCs/>
          <w:b/>
        </w:rPr>
        <w:t xml:space="preserve">Scope 3 Downstream:</w:t>
      </w:r>
      <w:r>
        <w:t xml:space="preserve"> </w:t>
      </w:r>
      <w:r>
        <w:t xml:space="preserve">11.60 kgCO2e</w:t>
      </w:r>
    </w:p>
    <w:p>
      <w:pPr>
        <w:pStyle w:val="FirstParagraph"/>
      </w:pPr>
      <w:r>
        <w:rPr>
          <w:bCs/>
          <w:b/>
        </w:rPr>
        <w:t xml:space="preserve">Total Product Carbon Footprint (Cradle-to-Grave): 0.00 + 2.70 + 6.485 + 11.60 = 20.785 kgCO2e per unit</w:t>
      </w:r>
    </w:p>
    <w:p>
      <w:r>
        <w:pict>
          <v:rect style="width:0;height:1.5pt" o:hralign="center" o:hrstd="t" o:hr="t"/>
        </w:pict>
      </w:r>
    </w:p>
    <w:bookmarkEnd w:id="39"/>
    <w:bookmarkEnd w:id="40"/>
    <w:bookmarkStart w:id="46" w:name="review-report-hotspots-and-reliability"/>
    <w:p>
      <w:pPr>
        <w:pStyle w:val="Heading2"/>
      </w:pPr>
      <w:r>
        <w:t xml:space="preserve">5. Review &amp; Report (Hotspots and Reliability)</w:t>
      </w:r>
    </w:p>
    <w:bookmarkStart w:id="41" w:name="X6e0f644610d46bc482b72b6c8780f6ab3e19339"/>
    <w:p>
      <w:pPr>
        <w:pStyle w:val="Heading3"/>
      </w:pPr>
      <w:r>
        <w:t xml:space="preserve">5.1 Carbon Footprint Summary by Life 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CO2e (kg/unit)</w:t>
            </w:r>
          </w:p>
        </w:tc>
        <w:tc>
          <w:tcPr/>
          <w:p>
            <w:pPr>
              <w:pStyle w:val="Compact"/>
              <w:jc w:val="left"/>
            </w:pPr>
            <w:r>
              <w:t xml:space="preserve">Percentage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6.325</w:t>
            </w:r>
          </w:p>
        </w:tc>
        <w:tc>
          <w:tcPr/>
          <w:p>
            <w:pPr>
              <w:pStyle w:val="Compact"/>
              <w:jc w:val="left"/>
            </w:pPr>
            <w:r>
              <w:t xml:space="preserve">30.43%</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0.160</w:t>
            </w:r>
          </w:p>
        </w:tc>
        <w:tc>
          <w:tcPr/>
          <w:p>
            <w:pPr>
              <w:pStyle w:val="Compact"/>
              <w:jc w:val="left"/>
            </w:pPr>
            <w:r>
              <w:t xml:space="preserve">0.77%</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2.700</w:t>
            </w:r>
          </w:p>
        </w:tc>
        <w:tc>
          <w:tcPr/>
          <w:p>
            <w:pPr>
              <w:pStyle w:val="Compact"/>
              <w:jc w:val="left"/>
            </w:pPr>
            <w:r>
              <w:t xml:space="preserve">12.99%</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0.640</w:t>
            </w:r>
          </w:p>
        </w:tc>
        <w:tc>
          <w:tcPr/>
          <w:p>
            <w:pPr>
              <w:pStyle w:val="Compact"/>
              <w:jc w:val="left"/>
            </w:pPr>
            <w:r>
              <w:t xml:space="preserve">3.08%</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12.500</w:t>
            </w:r>
          </w:p>
        </w:tc>
        <w:tc>
          <w:tcPr/>
          <w:p>
            <w:pPr>
              <w:pStyle w:val="Compact"/>
              <w:jc w:val="left"/>
            </w:pPr>
            <w:r>
              <w:t xml:space="preserve">60.14%</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-1.540</w:t>
            </w:r>
          </w:p>
        </w:tc>
        <w:tc>
          <w:tcPr/>
          <w:p>
            <w:pPr>
              <w:pStyle w:val="Compact"/>
              <w:jc w:val="left"/>
            </w:pPr>
            <w:r>
              <w:t xml:space="preserve">-7.41%</w:t>
            </w:r>
          </w:p>
        </w:tc>
      </w:tr>
      <w:tr>
        <w:tc>
          <w:tcPr>
            <w:gridSpan w:val="2"/>
          </w:tcPr>
          <w:p>
            <w:pPr>
              <w:pStyle w:val="Compact"/>
              <w:jc w:val="left"/>
            </w:pPr>
            <w:r>
              <w:rPr>
                <w:bCs/>
                <w:b/>
              </w:rPr>
              <w:t xml:space="preserve">TOTAL PCF (Cradle-to-Grave)</w:t>
            </w:r>
          </w:p>
        </w:tc>
        <w:tc>
          <w:tcPr/>
          <w:p>
            <w:pPr>
              <w:pStyle w:val="Compact"/>
              <w:jc w:val="left"/>
            </w:pPr>
            <w:r>
              <w:rPr>
                <w:bCs/>
                <w:b/>
              </w:rPr>
              <w:t xml:space="preserve">20.785</w:t>
            </w:r>
          </w:p>
        </w:tc>
        <w:tc>
          <w:tcPr/>
          <w:p>
            <w:pPr>
              <w:pStyle w:val="Compact"/>
              <w:jc w:val="left"/>
            </w:pPr>
            <w:r>
              <w:rPr>
                <w:bCs/>
                <w:b/>
              </w:rPr>
              <w:t xml:space="preserve">100.00%</w:t>
            </w:r>
          </w:p>
        </w:tc>
      </w:tr>
    </w:tbl>
    <w:bookmarkEnd w:id="41"/>
    <w:bookmarkStart w:id="42" w:name="hotspot-analysis"/>
    <w:p>
      <w:pPr>
        <w:pStyle w:val="Heading3"/>
      </w:pPr>
      <w:r>
        <w:t xml:space="preserve">5.2 Hotspot Analysis</w:t>
      </w:r>
    </w:p>
    <w:p>
      <w:pPr>
        <w:pStyle w:val="FirstParagraph"/>
      </w:pPr>
      <w:r>
        <w:t xml:space="preserve">The primary carbon hotspots for ltdvujqokz are:</w:t>
      </w:r>
    </w:p>
    <w:p>
      <w:pPr>
        <w:numPr>
          <w:ilvl w:val="0"/>
          <w:numId w:val="1015"/>
        </w:numPr>
        <w:pStyle w:val="Compact"/>
      </w:pPr>
      <w:r>
        <w:rPr>
          <w:bCs/>
          <w:b/>
        </w:rPr>
        <w:t xml:space="preserve">Product Use Phase (60.14%):</w:t>
      </w:r>
      <w:r>
        <w:t xml:space="preserve"> </w:t>
      </w:r>
      <w:r>
        <w:t xml:space="preserve">The most significant contributor, mainly due to electricity consumption over the product\'s 5-year lifespan. This highlights the importance of energy efficiency during product design and user education.</w:t>
      </w:r>
    </w:p>
    <w:p>
      <w:pPr>
        <w:numPr>
          <w:ilvl w:val="0"/>
          <w:numId w:val="1015"/>
        </w:numPr>
        <w:pStyle w:val="Compact"/>
      </w:pPr>
      <w:r>
        <w:rPr>
          <w:bCs/>
          <w:b/>
        </w:rPr>
        <w:t xml:space="preserve">Materials Acquisition &amp; Pre-processing (30.43%):</w:t>
      </w:r>
      <w:r>
        <w:t xml:space="preserve"> </w:t>
      </w:r>
      <w:r>
        <w:t xml:space="preserve">The production of raw materials, particularly the aluminum casing and PCB, accounts for a substantial portion of the footprint.</w:t>
      </w:r>
    </w:p>
    <w:p>
      <w:pPr>
        <w:numPr>
          <w:ilvl w:val="0"/>
          <w:numId w:val="1015"/>
        </w:numPr>
        <w:pStyle w:val="Compact"/>
      </w:pPr>
      <w:r>
        <w:rPr>
          <w:bCs/>
          <w:b/>
        </w:rPr>
        <w:t xml:space="preserve">Production (Electricity) (12.99%):</w:t>
      </w:r>
      <w:r>
        <w:t xml:space="preserve"> </w:t>
      </w:r>
      <w:r>
        <w:t xml:space="preserve">Despite 70% renewable energy usage, the remaining grid electricity still contributes notably.</w:t>
      </w:r>
    </w:p>
    <w:p>
      <w:pPr>
        <w:numPr>
          <w:ilvl w:val="0"/>
          <w:numId w:val="1015"/>
        </w:numPr>
        <w:pStyle w:val="Compact"/>
      </w:pPr>
      <w:r>
        <w:t xml:space="preserve">The net negative impact from End-of-Life is highly dependent on effective recycling programs and the value of recycled materials, which provides a carbon credit.</w:t>
      </w:r>
    </w:p>
    <w:bookmarkEnd w:id="42"/>
    <w:bookmarkStart w:id="43" w:name="data-reliability-and-limitations"/>
    <w:p>
      <w:pPr>
        <w:pStyle w:val="Heading3"/>
      </w:pPr>
      <w:r>
        <w:t xml:space="preserve">5.3 Data Reliability and Limitations</w:t>
      </w:r>
    </w:p>
    <w:p>
      <w:pPr>
        <w:pStyle w:val="FirstParagraph"/>
      </w:pPr>
      <w:r>
        <w:t xml:space="preserve">The reliability of this PCF analysis is good, leveraging specific product data (BOM, energy intensity, lifespan) and adhering to the GHG Protocol. However, it relies on:</w:t>
      </w:r>
    </w:p>
    <w:p>
      <w:pPr>
        <w:numPr>
          <w:ilvl w:val="0"/>
          <w:numId w:val="1016"/>
        </w:numPr>
        <w:pStyle w:val="Compact"/>
      </w:pPr>
      <w:r>
        <w:rPr>
          <w:bCs/>
          <w:b/>
        </w:rPr>
        <w:t xml:space="preserve">Assumed Emission Factors:</w:t>
      </w:r>
      <w:r>
        <w:t xml:space="preserve"> </w:t>
      </w:r>
      <w:r>
        <w:t xml:space="preserve">Generic industry average emission factors have been used for processes and grid electricity where primary, product-specific data was unavailable.</w:t>
      </w:r>
    </w:p>
    <w:p>
      <w:pPr>
        <w:numPr>
          <w:ilvl w:val="0"/>
          <w:numId w:val="1016"/>
        </w:numPr>
        <w:pStyle w:val="Compact"/>
      </w:pPr>
      <w:r>
        <w:rPr>
          <w:bCs/>
          <w:b/>
        </w:rPr>
        <w:t xml:space="preserve">Placeholder Data Interpretation:</w:t>
      </w:r>
      <w:r>
        <w:t xml:space="preserve"> </w:t>
      </w:r>
      <w:r>
        <w:t xml:space="preserve">Parameters like `msrgpinu`, `idzwhlugng`, `fiurozrnox`, etc., were provided as placeholders and interpreted with plausible, illustrative values for calculation purposes. Any variation in the actual data represented by these placeholders would alter the final PCF.</w:t>
      </w:r>
    </w:p>
    <w:p>
      <w:pPr>
        <w:numPr>
          <w:ilvl w:val="0"/>
          <w:numId w:val="1016"/>
        </w:numPr>
        <w:pStyle w:val="Compact"/>
      </w:pPr>
      <w:r>
        <w:rPr>
          <w:bCs/>
          <w:b/>
        </w:rPr>
        <w:t xml:space="preserve">LSR Standard Application:</w:t>
      </w:r>
      <w:r>
        <w:t xml:space="preserve"> </w:t>
      </w:r>
      <w:r>
        <w:t xml:space="preserve">While the 2026 LSR Standard is considered, specific land-use change data was not provided for raw materials or production, thus direct quantification of LSR impacts is limited to acknowledging its relevance.</w:t>
      </w:r>
    </w:p>
    <w:p>
      <w:pPr>
        <w:numPr>
          <w:ilvl w:val="0"/>
          <w:numId w:val="1016"/>
        </w:numPr>
        <w:pStyle w:val="Compact"/>
      </w:pPr>
      <w:r>
        <w:rPr>
          <w:bCs/>
          <w:b/>
        </w:rPr>
        <w:t xml:space="preserve">Scope 3 Coverage:</w:t>
      </w:r>
      <w:r>
        <w:t xml:space="preserve"> </w:t>
      </w:r>
      <w:r>
        <w:t xml:space="preserve">While targeting 95% coverage, some minor Scope 3 categories might be estimated or excluded if deemed immaterial and without significant data availability.</w:t>
      </w:r>
    </w:p>
    <w:bookmarkEnd w:id="43"/>
    <w:bookmarkStart w:id="45" w:name="recommendations-for-emissions-reduction"/>
    <w:p>
      <w:pPr>
        <w:pStyle w:val="Heading3"/>
      </w:pPr>
      <w:r>
        <w:t xml:space="preserve">5.4 Recommendations for Emissions Reduction</w:t>
      </w:r>
    </w:p>
    <w:p>
      <w:pPr>
        <w:numPr>
          <w:ilvl w:val="0"/>
          <w:numId w:val="1017"/>
        </w:numPr>
        <w:pStyle w:val="Compact"/>
      </w:pPr>
      <w:r>
        <w:rPr>
          <w:bCs/>
          <w:b/>
        </w:rPr>
        <w:t xml:space="preserve">Optimize Use Phase:</w:t>
      </w:r>
      <w:r>
        <w:t xml:space="preserve"> </w:t>
      </w:r>
      <w:r>
        <w:t xml:space="preserve">Focus on designing for even greater energy efficiency (e.g., lower power consumption components, smart power management) to reduce the largest hotspot.</w:t>
      </w:r>
    </w:p>
    <w:p>
      <w:pPr>
        <w:numPr>
          <w:ilvl w:val="0"/>
          <w:numId w:val="1017"/>
        </w:numPr>
        <w:pStyle w:val="Compact"/>
      </w:pPr>
      <w:r>
        <w:rPr>
          <w:bCs/>
          <w:b/>
        </w:rPr>
        <w:t xml:space="preserve">Sustainable Materials:</w:t>
      </w:r>
      <w:r>
        <w:t xml:space="preserve"> </w:t>
      </w:r>
      <w:r>
        <w:t xml:space="preserve">Explore alternative materials with lower embodied carbon, increase recycled content, and work with suppliers to reduce upstream emissions from critical components (e.g., aluminum, PCBs).</w:t>
      </w:r>
    </w:p>
    <w:p>
      <w:pPr>
        <w:numPr>
          <w:ilvl w:val="0"/>
          <w:numId w:val="1017"/>
        </w:numPr>
        <w:pStyle w:val="Compact"/>
      </w:pPr>
      <w:r>
        <w:rPr>
          <w:bCs/>
          <w:b/>
        </w:rPr>
        <w:t xml:space="preserve">Renewable Energy Sourcing:</w:t>
      </w:r>
      <w:r>
        <w:t xml:space="preserve"> </w:t>
      </w:r>
      <w:r>
        <w:t xml:space="preserve">Increase the percentage of renewable energy used in production beyond 70% to further reduce Scope 2 emissions. Invest in or procure 100% renewable energy certificates.</w:t>
      </w:r>
    </w:p>
    <w:p>
      <w:pPr>
        <w:numPr>
          <w:ilvl w:val="0"/>
          <w:numId w:val="1017"/>
        </w:numPr>
        <w:pStyle w:val="Compact"/>
      </w:pPr>
      <w:r>
        <w:rPr>
          <w:bCs/>
          <w:b/>
        </w:rPr>
        <w:t xml:space="preserve">Logistics Optimization:</w:t>
      </w:r>
      <w:r>
        <w:t xml:space="preserve"> </w:t>
      </w:r>
      <w:r>
        <w:t xml:space="preserve">Further optimize transport routes, modes (e.g., shifting to lower-emission alternatives like rail or electric vehicles where feasible), and consolidate shipments to reduce transport-related emissions.</w:t>
      </w:r>
    </w:p>
    <w:p>
      <w:pPr>
        <w:numPr>
          <w:ilvl w:val="0"/>
          <w:numId w:val="1017"/>
        </w:numPr>
        <w:pStyle w:val="Compact"/>
      </w:pPr>
      <w:r>
        <w:rPr>
          <w:bCs/>
          <w:b/>
        </w:rPr>
        <w:t xml:space="preserve">Enhance Circularity:</w:t>
      </w:r>
      <w:r>
        <w:t xml:space="preserve"> </w:t>
      </w:r>
      <w:r>
        <w:t xml:space="preserve">Continue to strengthen take-back and recycling programs (quusshyvzf) and design for disassembly and material recovery to maximize end-of-life benefits and minimize waste.</w:t>
      </w:r>
    </w:p>
    <w:p>
      <w:r>
        <w:pict>
          <v:rect style="width:0;height:1.5pt" o:hralign="center" o:hrstd="t" o:hr="t"/>
        </w:pict>
      </w:r>
    </w:p>
    <w:p>
      <w:pPr>
        <w:pStyle w:val="FirstParagraph"/>
      </w:pPr>
      <w:r>
        <w:t xml:space="preserve">Confidential - Internal Use Only | Page</w:t>
      </w:r>
      <w:r>
        <w:t xml:space="preserve"> </w:t>
      </w:r>
      <w:bookmarkStart w:id="44" w:name="page-num"/>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ltdvujqokz</dc:title>
  <dc:creator/>
  <dc:description>High-detail Product Carbon Footprint (PCF) analysis report for ltdvujqokz by Senior Sustainability Consultant fxkxumjdot for epomgqdrox, adhering to GHG Protocol and 2026 LSR Update requirements.</dc:description>
  <dc:language>en</dc:language>
  <cp:keywords/>
  <dcterms:created xsi:type="dcterms:W3CDTF">2026-07-15T11:40:11Z</dcterms:created>
  <dcterms:modified xsi:type="dcterms:W3CDTF">2026-07-15T11:40:11Z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