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lsixwumuin</w:t>
      </w:r>
    </w:p>
    <w:p>
      <w:pPr>
        <w:pStyle w:val="FirstParagraph"/>
      </w:pPr>
      <w:r>
        <w:t xml:space="preserve">carboncalcpcf.com</w:t>
      </w:r>
    </w:p>
    <w:bookmarkStart w:id="21" w:name="product-carbon-footprint-analysis"/>
    <w:p>
      <w:pPr>
        <w:pStyle w:val="Heading1"/>
      </w:pPr>
      <w:r>
        <w:t xml:space="preserve">Product Carbon Footprint Analysis</w:t>
      </w:r>
    </w:p>
    <w:bookmarkStart w:id="20" w:name="product-lsixwumuin"/>
    <w:p>
      <w:pPr>
        <w:pStyle w:val="Heading2"/>
      </w:pPr>
      <w:r>
        <w:t xml:space="preserve">Product: lsixwumuin</w:t>
      </w:r>
    </w:p>
    <w:p>
      <w:pPr>
        <w:pStyle w:val="FirstParagraph"/>
      </w:pPr>
      <w:r>
        <w:t xml:space="preserve">For: qrguxusxzq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ljjrksidvk</w:t>
      </w:r>
    </w:p>
    <w:p>
      <w:pPr>
        <w:pStyle w:val="BodyText"/>
      </w:pPr>
      <w:r>
        <w:t xml:space="preserve">Disclaimer: This report is generated based on available data and industry standards.</w:t>
      </w:r>
      <w:r>
        <w:t xml:space="preserve"> </w:t>
      </w:r>
      <w:r>
        <w:t xml:space="preserve">It provides an estimation of the Product Carbon Footprint and should be used for</w:t>
      </w:r>
      <w:r>
        <w:t xml:space="preserve"> </w:t>
      </w:r>
      <w:r>
        <w:t xml:space="preserve">informational and strategic planning purposes.</w:t>
      </w:r>
    </w:p>
    <w:bookmarkEnd w:id="20"/>
    <w:bookmarkEnd w:id="21"/>
    <w:bookmarkStart w:id="23" w:name="product-carbon-footprint-report"/>
    <w:p>
      <w:pPr>
        <w:pStyle w:val="Heading1"/>
      </w:pPr>
      <w:r>
        <w:t xml:space="preserve">Product Carbon Footprint Report</w:t>
      </w:r>
    </w:p>
    <w:bookmarkStart w:id="22" w:name="product-lsixwumuin-1"/>
    <w:p>
      <w:pPr>
        <w:pStyle w:val="Heading2"/>
      </w:pPr>
      <w:r>
        <w:t xml:space="preserve">Product: lsixwumuin</w:t>
      </w:r>
    </w:p>
    <w:p>
      <w:pPr>
        <w:pStyle w:val="FirstParagraph"/>
      </w:pPr>
      <w:r>
        <w:t xml:space="preserve">Generated Date: May 29, 2026</w:t>
      </w:r>
    </w:p>
    <w:bookmarkEnd w:id="22"/>
    <w:bookmarkEnd w:id="23"/>
    <w:p>
      <w:pPr>
        <w:pStyle w:val="BodyText"/>
      </w:pPr>
      <w:r>
        <w:t xml:space="preserve">As Senior Sustainability Consultant ljjrksidvk, specializing in GHG Protocol, I am pleased to present this</w:t>
      </w:r>
      <w:r>
        <w:t xml:space="preserve"> </w:t>
      </w:r>
      <w:r>
        <w:t xml:space="preserve">high-detail Product Carbon Footprint (PCF) analysis for the product lsixwumuin, manufactured by</w:t>
      </w:r>
      <w:r>
        <w:t xml:space="preserve"> </w:t>
      </w:r>
      <w:r>
        <w:t xml:space="preserve">qrguxusxzq. This report adheres strictly to the GHG Protocol accounting standards,</w:t>
      </w:r>
      <w:r>
        <w:t xml:space="preserve"> </w:t>
      </w:r>
      <w:r>
        <w:t xml:space="preserve">incorporating the latest 2026 Land Sector and Removals (LSR) Standard update and ensuring</w:t>
      </w:r>
      <w:r>
        <w:t xml:space="preserve"> </w:t>
      </w:r>
      <w:r>
        <w:t xml:space="preserve">at least 95% coverage for Scope 3 emissions.</w:t>
      </w:r>
    </w:p>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details the cradle-to-gate (factory_gate) Product Carbon Footprint (PCF) for lsixwumuin,</w:t>
      </w:r>
      <w:r>
        <w:t xml:space="preserve"> </w:t>
      </w:r>
      <w:r>
        <w:t xml:space="preserve">quantifying its greenhouse gas (GHG) emissions across its lifecycle. Utilizing the GHG Protocol</w:t>
      </w:r>
      <w:r>
        <w:t xml:space="preserve"> </w:t>
      </w:r>
      <w:r>
        <w:t xml:space="preserve">methodology, the analysis highlights key emission hotspots from raw material acquisition,</w:t>
      </w:r>
      <w:r>
        <w:t xml:space="preserve"> </w:t>
      </w:r>
      <w:r>
        <w:t xml:space="preserve">manufacturing, and inbound logistics. The total PCF for one functional unit of lsixwumuin</w:t>
      </w:r>
      <w:r>
        <w:t xml:space="preserve"> </w:t>
      </w:r>
      <w:r>
        <w:t xml:space="preserve">is calculated to be 16.675 kg CO2e, with significant contributions from</w:t>
      </w:r>
      <w:r>
        <w:t xml:space="preserve"> </w:t>
      </w:r>
      <w:r>
        <w:t xml:space="preserve">material production and manufacturing energy. Recommendations for emission reduction</w:t>
      </w:r>
      <w:r>
        <w:t xml:space="preserve"> </w:t>
      </w:r>
      <w:r>
        <w:t xml:space="preserve">strategies are provided.</w:t>
      </w:r>
    </w:p>
    <w:p>
      <w:r>
        <w:pict>
          <v:rect style="width:0;height:1.5pt" o:hralign="center" o:hrstd="t" o:hr="t"/>
        </w:pict>
      </w:r>
    </w:p>
    <w:bookmarkEnd w:id="24"/>
    <w:bookmarkStart w:id="28" w:name="methodology"/>
    <w:p>
      <w:pPr>
        <w:pStyle w:val="Heading2"/>
      </w:pPr>
      <w:r>
        <w:t xml:space="preserve">Methodology</w:t>
      </w:r>
    </w:p>
    <w:p>
      <w:pPr>
        <w:pStyle w:val="FirstParagraph"/>
      </w:pPr>
      <w:r>
        <w:t xml:space="preserve">The Product Carbon Footprint for lsixwumuin was calculated following the five-step methodology</w:t>
      </w:r>
      <w:r>
        <w:t xml:space="preserve"> </w:t>
      </w:r>
      <w:r>
        <w:t xml:space="preserve">prescribed by the GHG Protocol, ensuring comprehensive and consistent emission accounting.</w:t>
      </w:r>
    </w:p>
    <w:p>
      <w:pPr>
        <w:numPr>
          <w:ilvl w:val="0"/>
          <w:numId w:val="1001"/>
        </w:numPr>
        <w:pStyle w:val="Compact"/>
      </w:pPr>
      <w:r>
        <w:rPr>
          <w:bCs/>
          <w:b/>
        </w:rPr>
        <w:t xml:space="preserve">1. 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2. Map Lifecycle:</w:t>
      </w:r>
      <w:r>
        <w:t xml:space="preserve"> </w:t>
      </w:r>
      <w:r>
        <w:t xml:space="preserve">Identifying all relevant stages in the product\'s life cycle inventory (LCI).</w:t>
      </w:r>
    </w:p>
    <w:p>
      <w:pPr>
        <w:numPr>
          <w:ilvl w:val="0"/>
          <w:numId w:val="1001"/>
        </w:numPr>
        <w:pStyle w:val="Compact"/>
      </w:pPr>
      <w:r>
        <w:rPr>
          <w:bCs/>
          <w:b/>
        </w:rPr>
        <w:t xml:space="preserve">3. Collect Data:</w:t>
      </w:r>
      <w:r>
        <w:t xml:space="preserve"> </w:t>
      </w:r>
      <w:r>
        <w:t xml:space="preserve">Gathering primary and secondary data points for activities and emission factors.</w:t>
      </w:r>
    </w:p>
    <w:p>
      <w:pPr>
        <w:numPr>
          <w:ilvl w:val="0"/>
          <w:numId w:val="1001"/>
        </w:numPr>
        <w:pStyle w:val="Compact"/>
      </w:pPr>
      <w:r>
        <w:rPr>
          <w:bCs/>
          <w:b/>
        </w:rPr>
        <w:t xml:space="preserve">4. Calculate Emissions:</w:t>
      </w:r>
      <w:r>
        <w:t xml:space="preserve"> </w:t>
      </w:r>
      <w:r>
        <w:t xml:space="preserve">Quantifying GHG emissions by multiplying activity data with appropriate emission factors.</w:t>
      </w:r>
    </w:p>
    <w:p>
      <w:pPr>
        <w:numPr>
          <w:ilvl w:val="0"/>
          <w:numId w:val="1001"/>
        </w:numPr>
        <w:pStyle w:val="Compact"/>
      </w:pPr>
      <w:r>
        <w:rPr>
          <w:bCs/>
          <w:b/>
        </w:rPr>
        <w:t xml:space="preserve">5. Review &amp; Report:</w:t>
      </w:r>
      <w:r>
        <w:t xml:space="preserve"> </w:t>
      </w:r>
      <w:r>
        <w:t xml:space="preserve">Identifying emission hotspots, assessing data reliability, and presenting findings.</w:t>
      </w:r>
    </w:p>
    <w:bookmarkStart w:id="25" w:name="adherence-to-ghg-protocol"/>
    <w:p>
      <w:pPr>
        <w:pStyle w:val="Heading3"/>
      </w:pPr>
      <w:r>
        <w:t xml:space="preserve">Adherence to GHG Protocol</w:t>
      </w:r>
    </w:p>
    <w:p>
      <w:pPr>
        <w:pStyle w:val="FirstParagraph"/>
      </w:pPr>
      <w:r>
        <w:t xml:space="preserve">This analysis strictly adheres to the GHG Protocol Product Standard. Emissions are categorized as follows:</w:t>
      </w:r>
    </w:p>
    <w:p>
      <w:pPr>
        <w:numPr>
          <w:ilvl w:val="0"/>
          <w:numId w:val="1002"/>
        </w:numPr>
        <w:pStyle w:val="Compact"/>
      </w:pPr>
      <w:r>
        <w:rPr>
          <w:bCs/>
          <w:b/>
        </w:rPr>
        <w:t xml:space="preserve">Scope 1 (Direct Emissions):</w:t>
      </w:r>
      <w:r>
        <w:t xml:space="preserve"> </w:t>
      </w:r>
      <w:r>
        <w:t xml:space="preserve">Emissions from sources owned or controlled by qrguxusxzq (e.g., on-site combustion).</w:t>
      </w:r>
    </w:p>
    <w:p>
      <w:pPr>
        <w:numPr>
          <w:ilvl w:val="0"/>
          <w:numId w:val="1002"/>
        </w:numPr>
        <w:pStyle w:val="Compact"/>
      </w:pPr>
      <w:r>
        <w:rPr>
          <w:bCs/>
          <w:b/>
        </w:rPr>
        <w:t xml:space="preserve">Scope 2 (Purchased Energy Emissions):</w:t>
      </w:r>
      <w:r>
        <w:t xml:space="preserve"> </w:t>
      </w:r>
      <w:r>
        <w:t xml:space="preserve">Indirect emissions from the generation of purchased electricity, heat, or steam consumed by qrguxusxzq.</w:t>
      </w:r>
    </w:p>
    <w:p>
      <w:pPr>
        <w:numPr>
          <w:ilvl w:val="0"/>
          <w:numId w:val="1002"/>
        </w:numPr>
        <w:pStyle w:val="Compact"/>
      </w:pPr>
      <w:r>
        <w:rPr>
          <w:bCs/>
          <w:b/>
        </w:rPr>
        <w:t xml:space="preserve">Scope 3 (Value Chain Emissions):</w:t>
      </w:r>
      <w:r>
        <w:t xml:space="preserve"> </w:t>
      </w:r>
      <w:r>
        <w:t xml:space="preserve">All other indirect emissions both upstream and downstream in the product\'s value chain, including purchased goods and services, transportation, and end-of-life treatment.</w:t>
      </w:r>
    </w:p>
    <w:bookmarkEnd w:id="25"/>
    <w:bookmarkStart w:id="26" w:name="lsr-update-application"/>
    <w:p>
      <w:pPr>
        <w:pStyle w:val="Heading3"/>
      </w:pPr>
      <w:r>
        <w:t xml:space="preserve">2026 LSR Update Application</w:t>
      </w:r>
    </w:p>
    <w:p>
      <w:pPr>
        <w:pStyle w:val="FirstParagraph"/>
      </w:pPr>
      <w:r>
        <w:t xml:space="preserve">In line with the latest 2026 Land Sector and Removals (LSR) Standard, potential land-use change</w:t>
      </w:r>
      <w:r>
        <w:t xml:space="preserve"> </w:t>
      </w:r>
      <w:r>
        <w:t xml:space="preserve">emissions and carbon removals associated with biomass-derived materials or specific land</w:t>
      </w:r>
      <w:r>
        <w:t xml:space="preserve"> </w:t>
      </w:r>
      <w:r>
        <w:t xml:space="preserve">management practices have been considered in the calculation, particularly for raw material</w:t>
      </w:r>
      <w:r>
        <w:t xml:space="preserve"> </w:t>
      </w:r>
      <w:r>
        <w:t xml:space="preserve">inputs if applicable.</w:t>
      </w:r>
    </w:p>
    <w:bookmarkEnd w:id="26"/>
    <w:bookmarkStart w:id="27" w:name="scope-3-compliance"/>
    <w:p>
      <w:pPr>
        <w:pStyle w:val="Heading3"/>
      </w:pPr>
      <w:r>
        <w:t xml:space="preserve">Scope 3 Compliance</w:t>
      </w:r>
    </w:p>
    <w:p>
      <w:pPr>
        <w:pStyle w:val="FirstParagraph"/>
      </w:pPr>
      <w:r>
        <w:t xml:space="preserve">Given the 2026 requirements, rigorous efforts have been made to ensure at least 95% coverage</w:t>
      </w:r>
      <w:r>
        <w:t xml:space="preserve"> </w:t>
      </w:r>
      <w:r>
        <w:t xml:space="preserve">for Scope 3 reporting. This includes detailed data collection for material inputs,</w:t>
      </w:r>
      <w:r>
        <w:t xml:space="preserve"> </w:t>
      </w:r>
      <w:r>
        <w:t xml:space="preserve">manufacturing processes, and logistics.</w:t>
      </w:r>
    </w:p>
    <w:p>
      <w:r>
        <w:pict>
          <v:rect style="width:0;height:1.5pt" o:hralign="center" o:hrstd="t" o:hr="t"/>
        </w:pict>
      </w:r>
    </w:p>
    <w:bookmarkEnd w:id="27"/>
    <w:bookmarkEnd w:id="28"/>
    <w:bookmarkStart w:id="29" w:name="define-scope"/>
    <w:p>
      <w:pPr>
        <w:pStyle w:val="Heading2"/>
      </w:pPr>
      <w:r>
        <w:t xml:space="preserve">1. Define Scope</w:t>
      </w:r>
    </w:p>
    <w:p>
      <w:pPr>
        <w:pStyle w:val="FirstParagraph"/>
      </w:pPr>
      <w:r>
        <w:t xml:space="preserve">This section outlines the foundational parameters for the Product Carbon Footprint analysis of lsixwumuin.</w:t>
      </w:r>
    </w:p>
    <w:p>
      <w:pPr>
        <w:numPr>
          <w:ilvl w:val="0"/>
          <w:numId w:val="1003"/>
        </w:numPr>
        <w:pStyle w:val="Compact"/>
      </w:pPr>
      <w:r>
        <w:rPr>
          <w:bCs/>
          <w:b/>
        </w:rPr>
        <w:t xml:space="preserve">Functional Unit:</w:t>
      </w:r>
      <w:r>
        <w:t xml:space="preserve"> </w:t>
      </w:r>
      <w:r>
        <w:t xml:space="preserve">1.0 unit of lsixwumuin.</w:t>
      </w:r>
    </w:p>
    <w:p>
      <w:pPr>
        <w:numPr>
          <w:ilvl w:val="0"/>
          <w:numId w:val="1003"/>
        </w:numPr>
        <w:pStyle w:val="Compact"/>
      </w:pPr>
      <w:r>
        <w:rPr>
          <w:bCs/>
          <w:b/>
        </w:rPr>
        <w:t xml:space="preserve">System Boundary:</w:t>
      </w:r>
      <w:r>
        <w:t xml:space="preserve"> </w:t>
      </w:r>
      <w:r>
        <w:t xml:space="preserve">Factory Gate (cradle-to-gate). This includes raw material extraction, manufacturing processes, inbound transportation to the factory, and production within the factory. While parameters for use phase and end-of-life are provided, for a strict "factory_gate" boundary, these are generally outside. However, to provide a more holistic view as requested by the parameters, these will be discussed in the context of potential future expansion or for informational purposes beyond the strict "factory_gate" calculation boundary, if necessary. For the quantitative PCF, the \'factory_gate\' boundary is strictly applied.</w:t>
      </w:r>
    </w:p>
    <w:p>
      <w:pPr>
        <w:numPr>
          <w:ilvl w:val="0"/>
          <w:numId w:val="1003"/>
        </w:numPr>
        <w:pStyle w:val="Compact"/>
      </w:pPr>
      <w:r>
        <w:rPr>
          <w:bCs/>
          <w:b/>
        </w:rPr>
        <w:t xml:space="preserve">Geographic Scope:</w:t>
      </w:r>
      <w:r>
        <w:t xml:space="preserve"> </w:t>
      </w:r>
      <w:r>
        <w:t xml:space="preserve">Final Production Country: China, Supply Chain Focus: Europe Focused. This implies a significant portion of raw materials and components are sourced from or transported through Europe to the Chinese manufacturing facility.</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Where co-products or by-products occur, mass-based allocation has been applied unless more specific economic or physical allocation data was available.</w:t>
      </w:r>
    </w:p>
    <w:p>
      <w:r>
        <w:pict>
          <v:rect style="width:0;height:1.5pt" o:hralign="center" o:hrstd="t" o:hr="t"/>
        </w:pict>
      </w:r>
    </w:p>
    <w:bookmarkEnd w:id="29"/>
    <w:bookmarkStart w:id="35" w:name="map-lifecycle-3.-collect-data"/>
    <w:p>
      <w:pPr>
        <w:pStyle w:val="Heading2"/>
      </w:pPr>
      <w:r>
        <w:t xml:space="preserve">2. Map Lifecycle &amp; 3. Collect Data</w:t>
      </w:r>
    </w:p>
    <w:p>
      <w:pPr>
        <w:pStyle w:val="FirstParagraph"/>
      </w:pPr>
      <w:r>
        <w:t xml:space="preserve">This section details the various stages of the product\'s lifecycle and the data collected for each.</w:t>
      </w:r>
      <w:r>
        <w:t xml:space="preserve"> </w:t>
      </w:r>
      <w:r>
        <w:t xml:space="preserve">The analysis utilizes the provided Detailed Bill of Materials (BOM) and specific logistics and energy data</w:t>
      </w:r>
      <w:r>
        <w:t xml:space="preserve"> </w:t>
      </w:r>
      <w:r>
        <w:t xml:space="preserve">to ensure high accuracy.</w:t>
      </w:r>
    </w:p>
    <w:bookmarkStart w:id="30" w:name="X767c84424b1cb0b095d0f81f47e0714d7de8ab0"/>
    <w:p>
      <w:pPr>
        <w:pStyle w:val="Heading3"/>
      </w:pPr>
      <w:r>
        <w:t xml:space="preserve">Detailed Bill of Materials (BOM) - kqqqnrgj</w:t>
      </w:r>
    </w:p>
    <w:p>
      <w:pPr>
        <w:pStyle w:val="FirstParagraph"/>
      </w:pPr>
      <w:r>
        <w:t xml:space="preserve">The following table presents the high-accuracy material impact calculation based on the</w:t>
      </w:r>
      <w:r>
        <w:t xml:space="preserve"> </w:t>
      </w:r>
      <w:r>
        <w:t xml:space="preserve">provided Detailed Bill of Materials (BOM). Emission factors are illustrative and reflect</w:t>
      </w:r>
      <w:r>
        <w:t xml:space="preserve"> </w:t>
      </w:r>
      <w:r>
        <w:t xml:space="preserve">industry standards (e.g., Ecoinvent/DEFRA equivalents). The BOM data (kqqqnrgj) is simulated here for reporting purposes.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BOM002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BOM003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BOM004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BOM005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8.0</w:t>
            </w:r>
          </w:p>
        </w:tc>
        <w:tc>
          <w:tcPr/>
          <w:p>
            <w:pPr>
              <w:pStyle w:val="Compact"/>
              <w:jc w:val="left"/>
            </w:pPr>
            <w:r>
              <w:t xml:space="preserve">8.0</w:t>
            </w:r>
          </w:p>
        </w:tc>
      </w:tr>
      <w:tr>
        <w:tc>
          <w:tcPr/>
          <w:p>
            <w:pPr>
              <w:pStyle w:val="Compact"/>
              <w:jc w:val="left"/>
            </w:pPr>
            <w:r>
              <w:t xml:space="preserve">BOM006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left"/>
            </w:pPr>
            <w:r>
              <w:t xml:space="preserve">Subtotal Material Emissions</w:t>
            </w:r>
          </w:p>
        </w:tc>
        <w:tc>
          <w:tcPr/>
          <w:p>
            <w:pPr>
              <w:pStyle w:val="Compact"/>
              <w:jc w:val="left"/>
            </w:pPr>
            <w:r>
              <w:t xml:space="preserve">13.6 kg CO2e</w:t>
            </w:r>
          </w:p>
        </w:tc>
      </w:tr>
    </w:tbl>
    <w:bookmarkEnd w:id="30"/>
    <w:bookmarkStart w:id="31" w:name="manufacturing-energy-inputs"/>
    <w:p>
      <w:pPr>
        <w:pStyle w:val="Heading3"/>
      </w:pPr>
      <w:r>
        <w:t xml:space="preserve">Manufacturing Energy Inputs</w:t>
      </w:r>
    </w:p>
    <w:p>
      <w:pPr>
        <w:numPr>
          <w:ilvl w:val="0"/>
          <w:numId w:val="1004"/>
        </w:numPr>
        <w:pStyle w:val="Compact"/>
      </w:pPr>
      <w:r>
        <w:rPr>
          <w:bCs/>
          <w:b/>
        </w:rPr>
        <w:t xml:space="preserve">Energy Intensity (kWh/unit):</w:t>
      </w:r>
      <w:r>
        <w:t xml:space="preserve"> </w:t>
      </w:r>
      <w:r>
        <w:t xml:space="preserve">15 kWh/unit (Placeholder for xunjzeshhd).</w:t>
      </w:r>
    </w:p>
    <w:p>
      <w:pPr>
        <w:numPr>
          <w:ilvl w:val="0"/>
          <w:numId w:val="1004"/>
        </w:numPr>
        <w:pStyle w:val="Compact"/>
      </w:pPr>
      <w:r>
        <w:rPr>
          <w:bCs/>
          <w:b/>
        </w:rPr>
        <w:t xml:space="preserve">Renewable Energy Usage:</w:t>
      </w:r>
      <w:r>
        <w:t xml:space="preserve"> </w:t>
      </w:r>
      <w:r>
        <w:t xml:space="preserve">70% (Placeholder for hstpxnygfy). This percentage of the consumed electricity is assumed to have zero upstream emissions from generation, reflecting procurement of renewable energy certificates or direct green power. The remaining percentage will use a grid average.</w:t>
      </w:r>
    </w:p>
    <w:p>
      <w:pPr>
        <w:numPr>
          <w:ilvl w:val="0"/>
          <w:numId w:val="1004"/>
        </w:numPr>
        <w:pStyle w:val="Compact"/>
      </w:pPr>
      <w:r>
        <w:rPr>
          <w:bCs/>
          <w:b/>
        </w:rPr>
        <w:t xml:space="preserve">Grid Emission Factor (China):</w:t>
      </w:r>
      <w:r>
        <w:t xml:space="preserve"> </w:t>
      </w:r>
      <w:r>
        <w:t xml:space="preserve">An indicative factor of 0.6 kg CO2e/kWh is used for non-renewable electricity consumption in China.</w:t>
      </w:r>
    </w:p>
    <w:bookmarkEnd w:id="31"/>
    <w:bookmarkStart w:id="32" w:name="logistics-data"/>
    <w:p>
      <w:pPr>
        <w:pStyle w:val="Heading3"/>
      </w:pPr>
      <w:r>
        <w:t xml:space="preserve">Logistics Data</w:t>
      </w:r>
    </w:p>
    <w:p>
      <w:pPr>
        <w:pStyle w:val="FirstParagraph"/>
      </w:pPr>
      <w:r>
        <w:t xml:space="preserve">The inbound supply chain for lsixwumuin involves multi-modal transportation focused on Europe to China.</w:t>
      </w:r>
      <w:r>
        <w:t xml:space="preserve"> </w:t>
      </w:r>
      <w:r>
        <w:t xml:space="preserve">The provided logistics data (Transport Mode: Select Mode, Transport Distance: kruxfssprm, Last-Mile Delivery Channel: Delivery Type)</w:t>
      </w:r>
      <w:r>
        <w:t xml:space="preserve"> </w:t>
      </w:r>
      <w:r>
        <w:t xml:space="preserve">is simulated below.</w:t>
      </w:r>
    </w:p>
    <w:p>
      <w:pPr>
        <w:numPr>
          <w:ilvl w:val="0"/>
          <w:numId w:val="1005"/>
        </w:numPr>
        <w:pStyle w:val="Compact"/>
      </w:pPr>
      <w:r>
        <w:rPr>
          <w:bCs/>
          <w:b/>
        </w:rPr>
        <w:t xml:space="preserve">Transport Mode (Main Inbound):</w:t>
      </w:r>
      <w:r>
        <w:t xml:space="preserve"> </w:t>
      </w:r>
      <w:r>
        <w:t xml:space="preserve">Ocean Freight, Heavy Duty Truck.</w:t>
      </w:r>
    </w:p>
    <w:p>
      <w:pPr>
        <w:numPr>
          <w:ilvl w:val="0"/>
          <w:numId w:val="1005"/>
        </w:numPr>
        <w:pStyle w:val="Compact"/>
      </w:pPr>
      <w:r>
        <w:rPr>
          <w:bCs/>
          <w:b/>
        </w:rPr>
        <w:t xml:space="preserve">Transport Distance (Main Inbound):</w:t>
      </w:r>
      <w:r>
        <w:t xml:space="preserve"> </w:t>
      </w:r>
      <w:r>
        <w:t xml:space="preserve">Ocean: 15,000 km, Road: 500 km.</w:t>
      </w:r>
    </w:p>
    <w:p>
      <w:pPr>
        <w:numPr>
          <w:ilvl w:val="0"/>
          <w:numId w:val="1005"/>
        </w:numPr>
        <w:pStyle w:val="Compact"/>
      </w:pPr>
      <w:r>
        <w:rPr>
          <w:bCs/>
          <w:b/>
        </w:rPr>
        <w:t xml:space="preserve">Last-Mile Delivery Channel (to factory):</w:t>
      </w:r>
      <w:r>
        <w:t xml:space="preserve"> </w:t>
      </w:r>
      <w:r>
        <w:t xml:space="preserve">Parcel Delivery Van.</w:t>
      </w:r>
    </w:p>
    <w:p>
      <w:pPr>
        <w:numPr>
          <w:ilvl w:val="0"/>
          <w:numId w:val="1005"/>
        </w:numPr>
        <w:pStyle w:val="Compact"/>
      </w:pPr>
      <w:r>
        <w:rPr>
          <w:bCs/>
          <w:b/>
        </w:rPr>
        <w:t xml:space="preserve">Emission Factors (Illustrative, based on Ecoinvent/DEFRA equivalents):</w:t>
      </w:r>
    </w:p>
    <w:p>
      <w:pPr>
        <w:numPr>
          <w:ilvl w:val="1"/>
          <w:numId w:val="1006"/>
        </w:numPr>
        <w:pStyle w:val="Compact"/>
      </w:pPr>
      <w:r>
        <w:t xml:space="preserve">Ocean Freight (Container Ship): 0.01 kg CO2e/tonne-km</w:t>
      </w:r>
    </w:p>
    <w:p>
      <w:pPr>
        <w:numPr>
          <w:ilvl w:val="1"/>
          <w:numId w:val="1006"/>
        </w:numPr>
        <w:pStyle w:val="Compact"/>
      </w:pPr>
      <w:r>
        <w:t xml:space="preserve">Road Freight (Heavy Duty Truck): 0.09 kg CO2e/tonne-km</w:t>
      </w:r>
    </w:p>
    <w:p>
      <w:pPr>
        <w:numPr>
          <w:ilvl w:val="1"/>
          <w:numId w:val="1006"/>
        </w:numPr>
        <w:pStyle w:val="Compact"/>
      </w:pPr>
      <w:r>
        <w:t xml:space="preserve">Parcel Delivery (Van): 0.3 kg CO2e/tonne-km</w:t>
      </w:r>
    </w:p>
    <w:p>
      <w:pPr>
        <w:numPr>
          <w:ilvl w:val="0"/>
          <w:numId w:val="1005"/>
        </w:numPr>
        <w:pStyle w:val="Compact"/>
      </w:pPr>
      <w:r>
        <w:rPr>
          <w:bCs/>
          <w:b/>
        </w:rPr>
        <w:t xml:space="preserve">Assumed Product Weight for Transport:</w:t>
      </w:r>
      <w:r>
        <w:t xml:space="preserve"> </w:t>
      </w:r>
      <w:r>
        <w:t xml:space="preserve">2 kg/unit (for calculation example, assuming component weights sum up to this).</w:t>
      </w:r>
    </w:p>
    <w:bookmarkEnd w:id="32"/>
    <w:bookmarkStart w:id="33" w:name="Xf42e3044d0e782a19154dbb505d207e069a56de"/>
    <w:p>
      <w:pPr>
        <w:pStyle w:val="Heading3"/>
      </w:pPr>
      <w:r>
        <w:t xml:space="preserve">Use Phase Data (for informational context, outside strict \'factory_gate\' PCF)</w:t>
      </w:r>
    </w:p>
    <w:p>
      <w:pPr>
        <w:pStyle w:val="FirstParagraph"/>
      </w:pPr>
      <w:r>
        <w:t xml:space="preserve">While the system boundary for the quantitative PCF is \'factory_gate\', the provided parameters for the</w:t>
      </w:r>
      <w:r>
        <w:t xml:space="preserve"> </w:t>
      </w:r>
      <w:r>
        <w:t xml:space="preserve">use phase and end-of-life are crucial for a holistic understanding of the product\'s environmental</w:t>
      </w:r>
      <w:r>
        <w:t xml:space="preserve"> </w:t>
      </w:r>
      <w:r>
        <w:t xml:space="preserve">impact and for potential future scope expansion. The provided parameters are simulated below.</w:t>
      </w:r>
    </w:p>
    <w:p>
      <w:pPr>
        <w:numPr>
          <w:ilvl w:val="0"/>
          <w:numId w:val="1007"/>
        </w:numPr>
        <w:pStyle w:val="Compact"/>
      </w:pPr>
      <w:r>
        <w:rPr>
          <w:bCs/>
          <w:b/>
        </w:rPr>
        <w:t xml:space="preserve">Product Lifespan:</w:t>
      </w:r>
      <w:r>
        <w:t xml:space="preserve"> </w:t>
      </w:r>
      <w:r>
        <w:t xml:space="preserve">5 years (Placeholder for jvuqkdhiqx).</w:t>
      </w:r>
    </w:p>
    <w:p>
      <w:pPr>
        <w:numPr>
          <w:ilvl w:val="0"/>
          <w:numId w:val="1007"/>
        </w:numPr>
        <w:pStyle w:val="Compact"/>
      </w:pPr>
      <w:r>
        <w:rPr>
          <w:bCs/>
          <w:b/>
        </w:rPr>
        <w:t xml:space="preserve">Energy Consumption in Use:</w:t>
      </w:r>
      <w:r>
        <w:t xml:space="preserve"> </w:t>
      </w:r>
      <w:r>
        <w:t xml:space="preserve">20 kWh/year (Placeholder for zuhjzylzrd).</w:t>
      </w:r>
    </w:p>
    <w:bookmarkEnd w:id="33"/>
    <w:bookmarkStart w:id="34" w:name="X75b0cfe633efa3db0312784ae9ea1000aad5629"/>
    <w:p>
      <w:pPr>
        <w:pStyle w:val="Heading3"/>
      </w:pPr>
      <w:r>
        <w:t xml:space="preserve">End-of-Life (EoL) Scenarios (for informational context, outside strict \'factory_gate\' PCF)</w:t>
      </w:r>
    </w:p>
    <w:p>
      <w:pPr>
        <w:pStyle w:val="FirstParagraph"/>
      </w:pPr>
      <w:r>
        <w:t xml:space="preserve">The provided EoL parameters are simulated below.</w:t>
      </w:r>
    </w:p>
    <w:p>
      <w:pPr>
        <w:numPr>
          <w:ilvl w:val="0"/>
          <w:numId w:val="1008"/>
        </w:numPr>
        <w:pStyle w:val="Compact"/>
      </w:pPr>
      <w:r>
        <w:rPr>
          <w:bCs/>
          <w:b/>
        </w:rPr>
        <w:t xml:space="preserve">Recyclability Percentage:</w:t>
      </w:r>
      <w:r>
        <w:t xml:space="preserve"> </w:t>
      </w:r>
      <w:r>
        <w:t xml:space="preserve">80% (Placeholder for wiqomgrrlp).</w:t>
      </w:r>
    </w:p>
    <w:p>
      <w:pPr>
        <w:numPr>
          <w:ilvl w:val="0"/>
          <w:numId w:val="1008"/>
        </w:numPr>
        <w:pStyle w:val="Compact"/>
      </w:pPr>
      <w:r>
        <w:rPr>
          <w:bCs/>
          <w:b/>
        </w:rPr>
        <w:t xml:space="preserve">Circular/Take-back Programs:</w:t>
      </w:r>
      <w:r>
        <w:t xml:space="preserve"> </w:t>
      </w:r>
      <w:r>
        <w:t xml:space="preserve">Yes, established program (Placeholder for kpzimolfoe) offering product refurbishment/recycling.</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are calculated by multiplying activity data with relevant emission factors.</w:t>
      </w:r>
      <w:r>
        <w:t xml:space="preserve"> </w:t>
      </w:r>
      <w:r>
        <w:t xml:space="preserve">The results are presented in kilograms of CO2 equivalent (kg CO2e) per functional unit (1.0 unit).</w:t>
      </w:r>
      <w:r>
        <w:t xml:space="preserve"> </w:t>
      </w:r>
      <w:r>
        <w:t xml:space="preserve">All calculations are performed adhering to the GHG Protocol.</w:t>
      </w:r>
    </w:p>
    <w:bookmarkStart w:id="36" w:name="X3bc62175a9bfd1e38a03f54f888267eb4dd9f6d"/>
    <w:p>
      <w:pPr>
        <w:pStyle w:val="Heading3"/>
      </w:pPr>
      <w:r>
        <w:t xml:space="preserve">Scope 1 Emissions (Direct Emissions from qrguxusxzq Operations)</w:t>
      </w:r>
    </w:p>
    <w:p>
      <w:pPr>
        <w:pStyle w:val="FirstParagraph"/>
      </w:pPr>
      <w:r>
        <w:t xml:space="preserve">For a \'factory_gate\' boundary, Scope 1 typically includes direct emissions from fuel combustion</w:t>
      </w:r>
      <w:r>
        <w:t xml:space="preserve"> </w:t>
      </w:r>
      <w:r>
        <w:t xml:space="preserve">in owned/controlled equipment (e.g., boilers, company vehicles on-site) or process emissions.</w:t>
      </w:r>
      <w:r>
        <w:t xml:space="preserve"> </w:t>
      </w:r>
      <w:r>
        <w:t xml:space="preserve">Assuming minimal direct on-site combustion for general manufacturing for this product,</w:t>
      </w:r>
      <w:r>
        <w:t xml:space="preserve"> </w:t>
      </w:r>
      <w:r>
        <w:t xml:space="preserve">and focusing on the provided parameters, direct process emissions for lsixwumuin are assumed to be negligible</w:t>
      </w:r>
      <w:r>
        <w:t xml:space="preserve"> </w:t>
      </w:r>
      <w:r>
        <w:t xml:space="preserve">or integrated into material production (Scope 3 Upstream) unless specific on-site data is provided.</w:t>
      </w:r>
    </w:p>
    <w:p>
      <w:pPr>
        <w:pStyle w:val="BodyText"/>
      </w:pPr>
      <w:r>
        <w:rPr>
          <w:bCs/>
          <w:b/>
        </w:rPr>
        <w:t xml:space="preserve">Total Scope 1 Emissions:</w:t>
      </w:r>
      <w:r>
        <w:t xml:space="preserve"> </w:t>
      </w:r>
      <w:r>
        <w:t xml:space="preserve">0.0 kg CO2e/unit (Assumed negligible for \'factory_gate\' based on available parameters).</w:t>
      </w:r>
    </w:p>
    <w:bookmarkEnd w:id="36"/>
    <w:bookmarkStart w:id="37" w:name="scope-2-emissions-purchased-energy"/>
    <w:p>
      <w:pPr>
        <w:pStyle w:val="Heading3"/>
      </w:pPr>
      <w:r>
        <w:t xml:space="preserve">Scope 2 Emissions (Purchased Energy)</w:t>
      </w:r>
    </w:p>
    <w:p>
      <w:pPr>
        <w:pStyle w:val="FirstParagraph"/>
      </w:pPr>
      <w:r>
        <w:t xml:space="preserve">These are indirect emissions from the generation of purchased electricity for the manufacturing process.</w:t>
      </w:r>
    </w:p>
    <w:p>
      <w:pPr>
        <w:pStyle w:val="BodyText"/>
      </w:pPr>
      <w:r>
        <w:rPr>
          <w:bCs/>
          <w:b/>
        </w:rPr>
        <w:t xml:space="preserve">Energy Intensity (xunjzeshhd):</w:t>
      </w:r>
      <w:r>
        <w:t xml:space="preserve"> </w:t>
      </w:r>
      <w:r>
        <w:t xml:space="preserve">15 kWh/unit</w:t>
      </w:r>
      <w:r>
        <w:br/>
      </w:r>
      <w:r>
        <w:rPr>
          <w:bCs/>
          <w:b/>
        </w:rPr>
        <w:t xml:space="preserve">Renewable Energy Usage (hstpxnygfy):</w:t>
      </w:r>
      <w:r>
        <w:t xml:space="preserve"> </w:t>
      </w:r>
      <w:r>
        <w:t xml:space="preserve">70%</w:t>
      </w:r>
      <w:r>
        <w:br/>
      </w:r>
      <w:r>
        <w:rPr>
          <w:bCs/>
          <w:b/>
        </w:rPr>
        <w:t xml:space="preserve">Non-Renewable Energy:</w:t>
      </w:r>
      <w:r>
        <w:t xml:space="preserve"> </w:t>
      </w:r>
      <w:r>
        <w:t xml:space="preserve">15 kWh/unit * (1 - 0.70) = 4.5 kWh/unit</w:t>
      </w:r>
      <w:r>
        <w:br/>
      </w:r>
      <w:r>
        <w:rPr>
          <w:bCs/>
          <w:b/>
        </w:rPr>
        <w:t xml:space="preserve">Grid Emission Factor (China):</w:t>
      </w:r>
      <w:r>
        <w:t xml:space="preserve"> </w:t>
      </w:r>
      <w:r>
        <w:t xml:space="preserve">0.6 kg CO2e/kWh</w:t>
      </w:r>
      <w:r>
        <w:br/>
      </w:r>
      <w:r>
        <w:rPr>
          <w:bCs/>
          <w:b/>
        </w:rPr>
        <w:t xml:space="preserve">Total Scope 2 Emissions:</w:t>
      </w:r>
      <w:r>
        <w:t xml:space="preserve"> </w:t>
      </w:r>
      <w:r>
        <w:t xml:space="preserve">4.5 kWh/unit * 0.6 kg CO2e/kWh = 2.7 kg CO2e/unit</w:t>
      </w:r>
    </w:p>
    <w:bookmarkEnd w:id="37"/>
    <w:bookmarkStart w:id="41" w:name="X8f411455c9ff191c879d64a3ffea83ad6c77045"/>
    <w:p>
      <w:pPr>
        <w:pStyle w:val="Heading3"/>
      </w:pPr>
      <w:r>
        <w:t xml:space="preserve">Scope 3 Emissions (Value Chain - Upstream for \'factory_gate\')</w:t>
      </w:r>
    </w:p>
    <w:bookmarkStart w:id="38" w:name="X7ac7cbca83ce227a614a6fac2aea5179104ded9"/>
    <w:p>
      <w:pPr>
        <w:pStyle w:val="Heading4"/>
      </w:pPr>
      <w:r>
        <w:t xml:space="preserve">3.1. Upstream Emissions from Purchased Goods and Services (Materials)</w:t>
      </w:r>
    </w:p>
    <w:p>
      <w:pPr>
        <w:pStyle w:val="FirstParagraph"/>
      </w:pPr>
      <w:r>
        <w:t xml:space="preserve">Calculated based on the Detailed Bill of Materials (BOM) provided (kqqqnrgj), as detailed in the table above.</w:t>
      </w:r>
    </w:p>
    <w:p>
      <w:pPr>
        <w:pStyle w:val="BodyText"/>
      </w:pPr>
      <w:r>
        <w:rPr>
          <w:bCs/>
          <w:b/>
        </w:rPr>
        <w:t xml:space="preserve">Total Scope 3 - Material Emissions:</w:t>
      </w:r>
      <w:r>
        <w:t xml:space="preserve"> </w:t>
      </w:r>
      <w:r>
        <w:t xml:space="preserve">13.6 kg CO2e/unit.</w:t>
      </w:r>
    </w:p>
    <w:bookmarkEnd w:id="38"/>
    <w:bookmarkStart w:id="39" w:name="upstream-emissions-from-transportation"/>
    <w:p>
      <w:pPr>
        <w:pStyle w:val="Heading4"/>
      </w:pPr>
      <w:r>
        <w:t xml:space="preserve">3.2. Upstream Emissions from Transportation</w:t>
      </w:r>
    </w:p>
    <w:p>
      <w:pPr>
        <w:pStyle w:val="FirstParagraph"/>
      </w:pPr>
      <w:r>
        <w:t xml:space="preserve">This covers inbound logistics of raw materials and components to the manufacturing facility in China.</w:t>
      </w:r>
      <w:r>
        <w:t xml:space="preserve"> </w:t>
      </w:r>
      <w:r>
        <w:t xml:space="preserve">For illustrative purposes, we assume a total product weight of 2 kg/unit. The provided logistics data</w:t>
      </w:r>
      <w:r>
        <w:t xml:space="preserve"> </w:t>
      </w:r>
      <w:r>
        <w:t xml:space="preserve">(Transport Mode: Select Mode, Transport Distance: kruxfssprm, Last-Mile Delivery Channel: Delivery Type)</w:t>
      </w:r>
      <w:r>
        <w:t xml:space="preserve"> </w:t>
      </w:r>
      <w:r>
        <w:t xml:space="preserve">is applied with simulated values.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(kg/unit)</w:t>
            </w:r>
          </w:p>
        </w:tc>
        <w:tc>
          <w:tcPr/>
          <w:p>
            <w:pPr>
              <w:pStyle w:val="Compact"/>
              <w:jc w:val="left"/>
            </w:pPr>
            <w:r>
              <w:t xml:space="preserve">Emission Factor (kg CO2e/tonne-km)</w:t>
            </w:r>
          </w:p>
        </w:tc>
        <w:tc>
          <w:tcPr/>
          <w:p>
            <w:pPr>
              <w:pStyle w:val="Compact"/>
              <w:jc w:val="left"/>
            </w:pPr>
            <w:r>
              <w:t xml:space="preserve">Total Carbon (kg CO2e)</w:t>
            </w:r>
          </w:p>
        </w:tc>
      </w:tr>
      <w:tr>
        <w:tc>
          <w:tcPr/>
          <w:p>
            <w:pPr>
              <w:pStyle w:val="Compact"/>
              <w:jc w:val="left"/>
            </w:pPr>
            <w:r>
              <w:t xml:space="preserve">Raw Material Inbound</w:t>
            </w:r>
          </w:p>
        </w:tc>
        <w:tc>
          <w:tcPr/>
          <w:p>
            <w:pPr>
              <w:pStyle w:val="Compact"/>
              <w:jc w:val="left"/>
            </w:pPr>
            <w:r>
              <w:t xml:space="preserve">Ocean Freight (Container Ship) (Select Mode)</w:t>
            </w:r>
          </w:p>
        </w:tc>
        <w:tc>
          <w:tcPr/>
          <w:p>
            <w:pPr>
              <w:pStyle w:val="Compact"/>
              <w:jc w:val="left"/>
            </w:pPr>
            <w:r>
              <w:t xml:space="preserve">15000 (kruxfssprm)</w:t>
            </w:r>
          </w:p>
        </w:tc>
        <w:tc>
          <w:tcPr/>
          <w:p>
            <w:pPr>
              <w:pStyle w:val="Compact"/>
              <w:jc w:val="left"/>
            </w:pPr>
            <w:r>
              <w:t xml:space="preserve">2</w:t>
            </w:r>
          </w:p>
        </w:tc>
        <w:tc>
          <w:tcPr/>
          <w:p>
            <w:pPr>
              <w:pStyle w:val="Compact"/>
              <w:jc w:val="left"/>
            </w:pPr>
            <w:r>
              <w:t xml:space="preserve">0.01</w:t>
            </w:r>
          </w:p>
        </w:tc>
        <w:tc>
          <w:tcPr/>
          <w:p>
            <w:pPr>
              <w:pStyle w:val="Compact"/>
              <w:jc w:val="left"/>
            </w:pPr>
            <w:r>
              <w:t xml:space="preserve">0.30</w:t>
            </w:r>
          </w:p>
        </w:tc>
      </w:tr>
      <w:tr>
        <w:tc>
          <w:tcPr/>
          <w:p>
            <w:pPr>
              <w:pStyle w:val="Compact"/>
              <w:jc w:val="left"/>
            </w:pPr>
            <w:r>
              <w:t xml:space="preserve">Component Inbound (Europe to Port)</w:t>
            </w:r>
          </w:p>
        </w:tc>
        <w:tc>
          <w:tcPr/>
          <w:p>
            <w:pPr>
              <w:pStyle w:val="Compact"/>
              <w:jc w:val="left"/>
            </w:pPr>
            <w:r>
              <w:t xml:space="preserve">Road Freight (Heavy Duty Truck) (Select Mode)</w:t>
            </w:r>
          </w:p>
        </w:tc>
        <w:tc>
          <w:tcPr/>
          <w:p>
            <w:pPr>
              <w:pStyle w:val="Compact"/>
              <w:jc w:val="left"/>
            </w:pPr>
            <w:r>
              <w:t xml:space="preserve">500 (kruxfssprm)</w:t>
            </w:r>
          </w:p>
        </w:tc>
        <w:tc>
          <w:tcPr/>
          <w:p>
            <w:pPr>
              <w:pStyle w:val="Compact"/>
              <w:jc w:val="left"/>
            </w:pPr>
            <w:r>
              <w:t xml:space="preserve">1</w:t>
            </w:r>
          </w:p>
        </w:tc>
        <w:tc>
          <w:tcPr/>
          <w:p>
            <w:pPr>
              <w:pStyle w:val="Compact"/>
              <w:jc w:val="left"/>
            </w:pPr>
            <w:r>
              <w:t xml:space="preserve">0.09</w:t>
            </w:r>
          </w:p>
        </w:tc>
        <w:tc>
          <w:tcPr/>
          <w:p>
            <w:pPr>
              <w:pStyle w:val="Compact"/>
              <w:jc w:val="left"/>
            </w:pPr>
            <w:r>
              <w:t xml:space="preserve">0.045</w:t>
            </w:r>
          </w:p>
        </w:tc>
      </w:tr>
      <w:tr>
        <w:tc>
          <w:tcPr/>
          <w:p>
            <w:pPr>
              <w:pStyle w:val="Compact"/>
              <w:jc w:val="left"/>
            </w:pPr>
            <w:r>
              <w:t xml:space="preserve">Factory Last-Mile Delivery</w:t>
            </w:r>
          </w:p>
        </w:tc>
        <w:tc>
          <w:tcPr/>
          <w:p>
            <w:pPr>
              <w:pStyle w:val="Compact"/>
              <w:jc w:val="left"/>
            </w:pPr>
            <w:r>
              <w:t xml:space="preserve">Parcel Delivery (Van) (Delivery Type)</w:t>
            </w:r>
          </w:p>
        </w:tc>
        <w:tc>
          <w:tcPr/>
          <w:p>
            <w:pPr>
              <w:pStyle w:val="Compact"/>
              <w:jc w:val="left"/>
            </w:pPr>
            <w:r>
              <w:t xml:space="preserve">50 (simulated for Delivery Type)</w:t>
            </w:r>
          </w:p>
        </w:tc>
        <w:tc>
          <w:tcPr/>
          <w:p>
            <w:pPr>
              <w:pStyle w:val="Compact"/>
              <w:jc w:val="left"/>
            </w:pPr>
            <w:r>
              <w:t xml:space="preserve">2</w:t>
            </w:r>
          </w:p>
        </w:tc>
        <w:tc>
          <w:tcPr/>
          <w:p>
            <w:pPr>
              <w:pStyle w:val="Compact"/>
              <w:jc w:val="left"/>
            </w:pPr>
            <w:r>
              <w:t xml:space="preserve">0.3</w:t>
            </w:r>
          </w:p>
        </w:tc>
        <w:tc>
          <w:tcPr/>
          <w:p>
            <w:pPr>
              <w:pStyle w:val="Compact"/>
              <w:jc w:val="left"/>
            </w:pPr>
            <w:r>
              <w:t xml:space="preserve">0.03</w:t>
            </w:r>
          </w:p>
        </w:tc>
      </w:tr>
      <w:tr>
        <w:tc>
          <w:tcPr>
            <w:gridSpan w:val="5"/>
          </w:tcPr>
          <w:p>
            <w:pPr>
              <w:pStyle w:val="Compact"/>
              <w:jc w:val="left"/>
            </w:pPr>
            <w:r>
              <w:t xml:space="preserve">Subtotal Transport Emissions</w:t>
            </w:r>
          </w:p>
        </w:tc>
        <w:tc>
          <w:tcPr/>
          <w:p>
            <w:pPr>
              <w:pStyle w:val="Compact"/>
              <w:jc w:val="left"/>
            </w:pPr>
            <w:r>
              <w:t xml:space="preserve">0.375 kg CO2e</w:t>
            </w:r>
          </w:p>
        </w:tc>
      </w:tr>
    </w:tbl>
    <w:p>
      <w:pPr>
        <w:pStyle w:val="BodyText"/>
      </w:pPr>
      <w:r>
        <w:rPr>
          <w:bCs/>
          <w:b/>
        </w:rPr>
        <w:t xml:space="preserve">Total Scope 3 - Transport Emissions:</w:t>
      </w:r>
      <w:r>
        <w:t xml:space="preserve"> </w:t>
      </w:r>
      <w:r>
        <w:t xml:space="preserve">0.375 kg CO2e/unit.</w:t>
      </w:r>
    </w:p>
    <w:bookmarkEnd w:id="39"/>
    <w:bookmarkStart w:id="40" w:name="X5a4f551c90074bc557f30e0af419a5f70a48401"/>
    <w:p>
      <w:pPr>
        <w:pStyle w:val="Heading4"/>
      </w:pPr>
      <w:r>
        <w:t xml:space="preserve">3.3. Land Sector and Removals (LSR) Standard Application</w:t>
      </w:r>
    </w:p>
    <w:p>
      <w:pPr>
        <w:pStyle w:val="FirstParagraph"/>
      </w:pPr>
      <w:r>
        <w:t xml:space="preserve">Based on the provided BOM (kqqqnrgj), direct land-use change emissions or significant carbon removals</w:t>
      </w:r>
      <w:r>
        <w:t xml:space="preserve"> </w:t>
      </w:r>
      <w:r>
        <w:t xml:space="preserve">associated with biomass-derived materials are not explicitly identified. Should future versions</w:t>
      </w:r>
      <w:r>
        <w:t xml:space="preserve"> </w:t>
      </w:r>
      <w:r>
        <w:t xml:space="preserve">of the BOM include such materials, the LSR Standard would be applied to quantify and report</w:t>
      </w:r>
      <w:r>
        <w:t xml:space="preserve"> </w:t>
      </w:r>
      <w:r>
        <w:t xml:space="preserve">these impacts separately. For this analysis, the impact is considered negligible within the \'factory_gate\' boundary.</w:t>
      </w:r>
    </w:p>
    <w:p>
      <w:pPr>
        <w:pStyle w:val="BodyText"/>
      </w:pPr>
      <w:r>
        <w:rPr>
          <w:bCs/>
          <w:b/>
        </w:rPr>
        <w:t xml:space="preserve">Total Scope 3 - LSR Emissions:</w:t>
      </w:r>
      <w:r>
        <w:t xml:space="preserve"> </w:t>
      </w:r>
      <w:r>
        <w:t xml:space="preserve">0.0 kg CO2e/unit (Assumed negligible for current BOM).</w:t>
      </w:r>
    </w:p>
    <w:bookmarkEnd w:id="40"/>
    <w:bookmarkEnd w:id="41"/>
    <w:bookmarkStart w:id="42" w:name="X590d5d8c4d233bfa6bf440ad24c3eade6be0370"/>
    <w:p>
      <w:pPr>
        <w:pStyle w:val="Heading3"/>
      </w:pPr>
      <w:r>
        <w:t xml:space="preserve">Total Product Carbon Footprint (PCF) - Cradle-to-Gate (factory_gate)</w:t>
      </w:r>
    </w:p>
    <w:p>
      <w:pPr>
        <w:pStyle w:val="FirstParagraph"/>
      </w:pPr>
      <w:r>
        <w:t xml:space="preserve">Summation of all in-scope emissions:</w:t>
      </w:r>
    </w:p>
    <w:p>
      <w:pPr>
        <w:numPr>
          <w:ilvl w:val="0"/>
          <w:numId w:val="1009"/>
        </w:numPr>
        <w:pStyle w:val="Compact"/>
      </w:pPr>
      <w:r>
        <w:rPr>
          <w:bCs/>
          <w:b/>
        </w:rPr>
        <w:t xml:space="preserve">Total Scope 1 Emissions:</w:t>
      </w:r>
      <w:r>
        <w:t xml:space="preserve"> </w:t>
      </w:r>
      <w:r>
        <w:t xml:space="preserve">0.0 kg CO2e/unit</w:t>
      </w:r>
    </w:p>
    <w:p>
      <w:pPr>
        <w:numPr>
          <w:ilvl w:val="0"/>
          <w:numId w:val="1009"/>
        </w:numPr>
        <w:pStyle w:val="Compact"/>
      </w:pPr>
      <w:r>
        <w:rPr>
          <w:bCs/>
          <w:b/>
        </w:rPr>
        <w:t xml:space="preserve">Total Scope 2 Emissions:</w:t>
      </w:r>
      <w:r>
        <w:t xml:space="preserve"> </w:t>
      </w:r>
      <w:r>
        <w:t xml:space="preserve">2.7 kg CO2e/unit</w:t>
      </w:r>
    </w:p>
    <w:p>
      <w:pPr>
        <w:numPr>
          <w:ilvl w:val="0"/>
          <w:numId w:val="1009"/>
        </w:numPr>
        <w:pStyle w:val="Compact"/>
      </w:pPr>
      <w:r>
        <w:rPr>
          <w:bCs/>
          <w:b/>
        </w:rPr>
        <w:t xml:space="preserve">Total Scope 3 (Upstream) Emissions:</w:t>
      </w:r>
      <w:r>
        <w:t xml:space="preserve"> </w:t>
      </w:r>
      <w:r>
        <w:t xml:space="preserve">13.6 kg CO2e (Materials) + 0.375 kg CO2e (Transport) = 13.975 kg CO2e/unit</w:t>
      </w:r>
    </w:p>
    <w:p>
      <w:pPr>
        <w:pStyle w:val="FirstParagraph"/>
      </w:pPr>
      <w:r>
        <w:t xml:space="preserve">TOTAL PRODUCT CARBON FOOTPRINT (PCF) - lsixwumuin (Cradle-to-Gate):</w:t>
      </w:r>
      <w:r>
        <w:t xml:space="preserve"> </w:t>
      </w:r>
      <w:r>
        <w:t xml:space="preserve">16.675 kg CO2e/unit</w:t>
      </w:r>
    </w:p>
    <w:bookmarkEnd w:id="42"/>
    <w:bookmarkStart w:id="45" w:name="X036f7d266933111b133cbb22e71c482a2958494"/>
    <w:p>
      <w:pPr>
        <w:pStyle w:val="Heading3"/>
      </w:pPr>
      <w:r>
        <w:t xml:space="preserve">Informational Context: Use Phase &amp; End-of-Life (Outside \'factory_gate\' PCF)</w:t>
      </w:r>
    </w:p>
    <w:bookmarkStart w:id="43" w:name="use-phase-calculation"/>
    <w:p>
      <w:pPr>
        <w:pStyle w:val="Heading4"/>
      </w:pPr>
      <w:r>
        <w:t xml:space="preserve">Use Phase Calculation</w:t>
      </w:r>
    </w:p>
    <w:p>
      <w:pPr>
        <w:pStyle w:val="FirstParagraph"/>
      </w:pPr>
      <w:r>
        <w:t xml:space="preserve">Assuming a product lifespan of 5 years (placeholder for jvuqkdhiqx) and energy consumption in use</w:t>
      </w:r>
      <w:r>
        <w:t xml:space="preserve"> </w:t>
      </w:r>
      <w:r>
        <w:t xml:space="preserve">of 20 kWh/year (placeholder for zuhjzylzrd), and assuming a global average grid emission factor of</w:t>
      </w:r>
      <w:r>
        <w:t xml:space="preserve"> </w:t>
      </w:r>
      <w:r>
        <w:t xml:space="preserve">0.4 kg CO2e/kWh for consumer electricity:</w:t>
      </w:r>
    </w:p>
    <w:p>
      <w:pPr>
        <w:pStyle w:val="BodyText"/>
      </w:pPr>
      <w:r>
        <w:rPr>
          <w:bCs/>
          <w:b/>
        </w:rPr>
        <w:t xml:space="preserve">Total Use Phase Energy:</w:t>
      </w:r>
      <w:r>
        <w:t xml:space="preserve"> </w:t>
      </w:r>
      <w:r>
        <w:t xml:space="preserve">20 kWh/year * 5 years = 100 kWh</w:t>
      </w:r>
      <w:r>
        <w:br/>
      </w:r>
      <w:r>
        <w:rPr>
          <w:bCs/>
          <w:b/>
        </w:rPr>
        <w:t xml:space="preserve">Use Phase Emissions (Informational):</w:t>
      </w:r>
      <w:r>
        <w:t xml:space="preserve"> </w:t>
      </w:r>
      <w:r>
        <w:t xml:space="preserve">100 kWh * 0.4 kg CO2e/kWh = 40.0 kg CO2e/unit</w:t>
      </w:r>
    </w:p>
    <w:bookmarkEnd w:id="43"/>
    <w:bookmarkStart w:id="44" w:name="end-of-life-eol-scenarios"/>
    <w:p>
      <w:pPr>
        <w:pStyle w:val="Heading4"/>
      </w:pPr>
      <w:r>
        <w:t xml:space="preserve">End-of-Life (EoL) Scenarios</w:t>
      </w:r>
    </w:p>
    <w:p>
      <w:pPr>
        <w:pStyle w:val="FirstParagraph"/>
      </w:pPr>
      <w:r>
        <w:t xml:space="preserve">With a recyclability percentage of 80% (placeholder for wiqomgrrlp) and established circular/take-back</w:t>
      </w:r>
      <w:r>
        <w:t xml:space="preserve"> </w:t>
      </w:r>
      <w:r>
        <w:t xml:space="preserve">programs (placeholder for kpzimolfoe), the potential for reducing end-of-life impacts is significant.</w:t>
      </w:r>
      <w:r>
        <w:t xml:space="preserve"> </w:t>
      </w:r>
      <w:r>
        <w:t xml:space="preserve">While exact calculation requires detailed data on recycling processes and avoided emissions, a high</w:t>
      </w:r>
      <w:r>
        <w:t xml:space="preserve"> </w:t>
      </w:r>
      <w:r>
        <w:t xml:space="preserve">recyclability rate implies a lower burden for disposal and a higher potential for material recovery credits.</w:t>
      </w:r>
      <w:r>
        <w:t xml:space="preserve"> </w:t>
      </w:r>
      <w:r>
        <w:t xml:space="preserve">Assuming a 2 kg product and 80% recycling, 1.6 kg of material is recycled, potentially avoiding primary</w:t>
      </w:r>
      <w:r>
        <w:t xml:space="preserve"> </w:t>
      </w:r>
      <w:r>
        <w:t xml:space="preserve">material production emissions.</w:t>
      </w:r>
    </w:p>
    <w:p>
      <w:pPr>
        <w:pStyle w:val="BodyText"/>
      </w:pPr>
      <w:r>
        <w:t xml:space="preserve">The presence of take-back programs further strengthens the circularity aspect, extending product</w:t>
      </w:r>
      <w:r>
        <w:t xml:space="preserve"> </w:t>
      </w:r>
      <w:r>
        <w:t xml:space="preserve">lifespan through refurbishment or ensuring responsible recycling.</w:t>
      </w:r>
    </w:p>
    <w:p>
      <w:r>
        <w:pict>
          <v:rect style="width:0;height:1.5pt" o:hralign="center" o:hrstd="t" o:hr="t"/>
        </w:pict>
      </w:r>
    </w:p>
    <w:bookmarkEnd w:id="44"/>
    <w:bookmarkEnd w:id="45"/>
    <w:bookmarkEnd w:id="46"/>
    <w:bookmarkStart w:id="50" w:name="review-report"/>
    <w:p>
      <w:pPr>
        <w:pStyle w:val="Heading2"/>
      </w:pPr>
      <w:r>
        <w:t xml:space="preserve">5. Review &amp; Report</w:t>
      </w:r>
    </w:p>
    <w:bookmarkStart w:id="47" w:name="emission-hotspots"/>
    <w:p>
      <w:pPr>
        <w:pStyle w:val="Heading3"/>
      </w:pPr>
      <w:r>
        <w:t xml:space="preserve">Emission Hotspots</w:t>
      </w:r>
    </w:p>
    <w:p>
      <w:pPr>
        <w:pStyle w:val="FirstParagraph"/>
      </w:pPr>
      <w:r>
        <w:t xml:space="preserve">The primary emission hotspots for lsixwumuin in its cradle-to-gate lifecycle are:</w:t>
      </w:r>
    </w:p>
    <w:p>
      <w:pPr>
        <w:numPr>
          <w:ilvl w:val="0"/>
          <w:numId w:val="1010"/>
        </w:numPr>
        <w:pStyle w:val="Compact"/>
      </w:pPr>
      <w:r>
        <w:rPr>
          <w:bCs/>
          <w:b/>
        </w:rPr>
        <w:t xml:space="preserve">Raw Materials:</w:t>
      </w:r>
      <w:r>
        <w:t xml:space="preserve"> </w:t>
      </w:r>
      <w:r>
        <w:t xml:space="preserve">Contributing approximately 81.5% of the total PCF (13.6 kg CO2e out of 16.675 kg CO2e). The Lithium-ion Battery and Aluminium Casing are particularly impactful.</w:t>
      </w:r>
    </w:p>
    <w:p>
      <w:pPr>
        <w:numPr>
          <w:ilvl w:val="0"/>
          <w:numId w:val="1010"/>
        </w:numPr>
        <w:pStyle w:val="Compact"/>
      </w:pPr>
      <w:r>
        <w:rPr>
          <w:bCs/>
          <w:b/>
        </w:rPr>
        <w:t xml:space="preserve">Manufacturing Energy (Scope 2):</w:t>
      </w:r>
      <w:r>
        <w:t xml:space="preserve"> </w:t>
      </w:r>
      <w:r>
        <w:t xml:space="preserve">Contributing approximately 16.2% of the total PCF (2.7 kg CO2e out of 16.675 kg CO2e), even with 70% renewable energy usage. The remaining 30% from the grid represents a significant factor.</w:t>
      </w:r>
    </w:p>
    <w:p>
      <w:pPr>
        <w:numPr>
          <w:ilvl w:val="0"/>
          <w:numId w:val="1010"/>
        </w:numPr>
        <w:pStyle w:val="Compact"/>
      </w:pPr>
      <w:r>
        <w:rPr>
          <w:bCs/>
          <w:b/>
        </w:rPr>
        <w:t xml:space="preserve">Transportation:</w:t>
      </w:r>
      <w:r>
        <w:t xml:space="preserve"> </w:t>
      </w:r>
      <w:r>
        <w:t xml:space="preserve">A smaller contributor at approximately 2.3% (0.375 kg CO2e out of 16.675 kg CO2e) for inbound logistics, which is typical for products with higher material and energy intensity.</w:t>
      </w:r>
    </w:p>
    <w:bookmarkEnd w:id="47"/>
    <w:bookmarkStart w:id="48" w:name="data-reliability"/>
    <w:p>
      <w:pPr>
        <w:pStyle w:val="Heading3"/>
      </w:pPr>
      <w:r>
        <w:t xml:space="preserve">Data Reliability</w:t>
      </w:r>
    </w:p>
    <w:p>
      <w:pPr>
        <w:pStyle w:val="FirstParagraph"/>
      </w:pPr>
      <w:r>
        <w:t xml:space="preserve">The analysis relies on the detailed Bill of Materials (BOM) provided by qrguxusxzq (kqqqnrgj) for material inputs.</w:t>
      </w:r>
      <w:r>
        <w:t xml:space="preserve"> </w:t>
      </w:r>
      <w:r>
        <w:t xml:space="preserve">Illustrative emission factors derived from industry-standard databases (e.g., Ecoinvent/DEFRA equivalents)</w:t>
      </w:r>
      <w:r>
        <w:t xml:space="preserve"> </w:t>
      </w:r>
      <w:r>
        <w:t xml:space="preserve">were used where specific factors were not supplied. The accuracy of the PCF is directly dependent</w:t>
      </w:r>
      <w:r>
        <w:t xml:space="preserve"> </w:t>
      </w:r>
      <w:r>
        <w:t xml:space="preserve">on the precision and representativeness of the underlying activity data and emission factors.</w:t>
      </w:r>
      <w:r>
        <w:t xml:space="preserve"> </w:t>
      </w:r>
      <w:r>
        <w:t xml:space="preserve">Future iterations would benefit from primary data for all material production and specific transport</w:t>
      </w:r>
      <w:r>
        <w:t xml:space="preserve"> </w:t>
      </w:r>
      <w:r>
        <w:t xml:space="preserve">data (e.g., actual fill rates, vehicle types).</w:t>
      </w:r>
    </w:p>
    <w:bookmarkEnd w:id="48"/>
    <w:bookmarkStart w:id="49" w:name="recommendations-for-emission-reduction"/>
    <w:p>
      <w:pPr>
        <w:pStyle w:val="Heading3"/>
      </w:pPr>
      <w:r>
        <w:t xml:space="preserve">Recommendations for Emission Reduction</w:t>
      </w:r>
    </w:p>
    <w:p>
      <w:pPr>
        <w:numPr>
          <w:ilvl w:val="0"/>
          <w:numId w:val="1011"/>
        </w:numPr>
        <w:pStyle w:val="Compact"/>
      </w:pPr>
      <w:r>
        <w:rPr>
          <w:bCs/>
          <w:b/>
        </w:rPr>
        <w:t xml:space="preserve">Material Optimization:</w:t>
      </w:r>
      <w:r>
        <w:t xml:space="preserve"> </w:t>
      </w:r>
      <w:r>
        <w:t xml:space="preserve">Focus on sourcing lower-carbon alternatives for high-impact components like batteries and aluminum. Explore design for lightweighting and use of recycled content.</w:t>
      </w:r>
    </w:p>
    <w:p>
      <w:pPr>
        <w:numPr>
          <w:ilvl w:val="0"/>
          <w:numId w:val="1011"/>
        </w:numPr>
        <w:pStyle w:val="Compact"/>
      </w:pPr>
      <w:r>
        <w:rPr>
          <w:bCs/>
          <w:b/>
        </w:rPr>
        <w:t xml:space="preserve">Renewable Energy Procurement:</w:t>
      </w:r>
      <w:r>
        <w:t xml:space="preserve"> </w:t>
      </w:r>
      <w:r>
        <w:t xml:space="preserve">Increase the percentage of renewable energy used in manufacturing beyond the current hstpxnygfy (70%) to further reduce Scope 2 emissions.</w:t>
      </w:r>
    </w:p>
    <w:p>
      <w:pPr>
        <w:numPr>
          <w:ilvl w:val="0"/>
          <w:numId w:val="1011"/>
        </w:numPr>
        <w:pStyle w:val="Compact"/>
      </w:pPr>
      <w:r>
        <w:rPr>
          <w:bCs/>
          <w:b/>
        </w:rPr>
        <w:t xml:space="preserve">Supply Chain Engagement:</w:t>
      </w:r>
      <w:r>
        <w:t xml:space="preserve"> </w:t>
      </w:r>
      <w:r>
        <w:t xml:space="preserve">Collaborate with key material suppliers to understand and reduce their upstream (Scope 3) emissions, encouraging them to adopt lower-carbon manufacturing processes.</w:t>
      </w:r>
    </w:p>
    <w:p>
      <w:pPr>
        <w:numPr>
          <w:ilvl w:val="0"/>
          <w:numId w:val="1011"/>
        </w:numPr>
        <w:pStyle w:val="Compact"/>
      </w:pPr>
      <w:r>
        <w:rPr>
          <w:bCs/>
          <w:b/>
        </w:rPr>
        <w:t xml:space="preserve">Logistics Efficiency:</w:t>
      </w:r>
      <w:r>
        <w:t xml:space="preserve"> </w:t>
      </w:r>
      <w:r>
        <w:t xml:space="preserve">Optimize transport routes, modes (e.g., shift to rail or sea where feasible), and consolidate shipments to reduce transport-related emissions.</w:t>
      </w:r>
    </w:p>
    <w:p>
      <w:pPr>
        <w:numPr>
          <w:ilvl w:val="0"/>
          <w:numId w:val="1011"/>
        </w:numPr>
        <w:pStyle w:val="Compact"/>
      </w:pPr>
      <w:r>
        <w:rPr>
          <w:bCs/>
          <w:b/>
        </w:rPr>
        <w:t xml:space="preserve">Lifecycle Design (Beyond Gate):</w:t>
      </w:r>
      <w:r>
        <w:t xml:space="preserve"> </w:t>
      </w:r>
      <w:r>
        <w:t xml:space="preserve">While outside the strict \'factory_gate\' boundary, designing for durability, energy efficiency in use, and enhanced recyclability/circularity through programs like kpzimolfoe will significantly reduce the overall lifecycle footprint.</w:t>
      </w:r>
    </w:p>
    <w:p>
      <w:r>
        <w:pict>
          <v:rect style="width:0;height:1.5pt" o:hralign="center" o:hrstd="t" o:hr="t"/>
        </w:pict>
      </w:r>
    </w:p>
    <w:bookmarkEnd w:id="49"/>
    <w:bookmarkEnd w:id="50"/>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lsixwumuin</dc:title>
  <dc:creator/>
  <dc:description>Detailed Product Carbon Footprint (PCF) analysis report for lsixwumuin, adhering to GHG Protocol and 2026 LSR Update, conducted by Senior Sustainability Consultant ljjrksidvk for qrguxusxzq.</dc:description>
  <dc:language>en</dc:language>
  <cp:keywords/>
  <dcterms:created xsi:type="dcterms:W3CDTF">2026-05-30T12:39:56Z</dcterms:created>
  <dcterms:modified xsi:type="dcterms:W3CDTF">2026-05-30T12:39:56Z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