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lrujlzktwr</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rPr>
          <w:bCs/>
          <w:b/>
        </w:rPr>
        <w:t xml:space="preserve">Product:</w:t>
      </w:r>
      <w:r>
        <w:t xml:space="preserve"> </w:t>
      </w:r>
      <w:r>
        <w:t xml:space="preserve">lrujlzktwr</w:t>
      </w:r>
    </w:p>
    <w:p>
      <w:pPr>
        <w:pStyle w:val="BodyText"/>
      </w:pPr>
      <w:r>
        <w:rPr>
          <w:bCs/>
          <w:b/>
        </w:rPr>
        <w:t xml:space="preserve">Company:</w:t>
      </w:r>
      <w:r>
        <w:t xml:space="preserve"> </w:t>
      </w:r>
      <w:r>
        <w:t xml:space="preserve">zrokqpzedu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eugzvrjwqd</w:t>
      </w:r>
    </w:p>
    <w:p>
      <w:pPr>
        <w:pStyle w:val="BodyText"/>
      </w:pPr>
      <w:r>
        <w:t xml:space="preserve">This report is generated based on available data and industry standards. While every effort has been made to ensure accuracy, the actual carbon footprint may vary based on real-time operational data and specific supply chain details.</w:t>
      </w:r>
    </w:p>
    <w:bookmarkEnd w:id="20"/>
    <w:p>
      <w:pPr>
        <w:pStyle w:val="BodyText"/>
      </w:pPr>
      <w:r>
        <w:t xml:space="preserve">Generated Date: May 27, 2026</w:t>
      </w:r>
    </w:p>
    <w:bookmarkStart w:id="44" w:name="X9321e42e94eb0361ee46593573d739eac1daafc"/>
    <w:p>
      <w:pPr>
        <w:pStyle w:val="Heading1"/>
      </w:pPr>
      <w:r>
        <w:t xml:space="preserve">Product Carbon Footprint (PCF) Analysis Report: lrujlzktwr</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lrujlzktwr</w:t>
      </w:r>
      <w:r>
        <w:t xml:space="preserve">, manufactured by</w:t>
      </w:r>
      <w:r>
        <w:t xml:space="preserve"> </w:t>
      </w:r>
      <w:r>
        <w:rPr>
          <w:bCs/>
          <w:b/>
        </w:rPr>
        <w:t xml:space="preserve">zrokqpzedu</w:t>
      </w:r>
      <w:r>
        <w:t xml:space="preserve">. Conducted by Senior Sustainability Consultant</w:t>
      </w:r>
      <w:r>
        <w:t xml:space="preserve"> </w:t>
      </w:r>
      <w:r>
        <w:rPr>
          <w:bCs/>
          <w:b/>
        </w:rPr>
        <w:t xml:space="preserve">eugzvrjwqd</w:t>
      </w:r>
      <w:r>
        <w:t xml:space="preserve">, this analysis adheres strictly to the</w:t>
      </w:r>
      <w:r>
        <w:t xml:space="preserve"> </w:t>
      </w:r>
      <w:r>
        <w:rPr>
          <w:bCs/>
          <w:b/>
        </w:rPr>
        <w:t xml:space="preserve">GHG Protocol</w:t>
      </w:r>
      <w:r>
        <w:t xml:space="preserve">, categorizing emissions into Scope 1, Scope 2, and Scope 3. The assessment covers a “factory_gate” system boundary with a functional unit of 1.0 unit, focusing on a supply chain spanning from Europe to the final production country of China, with a focus on Europe for downstream. Key stages including material acquisition, manufacturing, transport, use, and end-of-life have been evaluated using specific Bill of Materials (BOM) data, energy consumption profiles, and end-of-life scenarios. The total calculated carbon footprint provides crucial insights into emission hotspots and informs strategic decisions for sustainability improvements.</w:t>
      </w:r>
    </w:p>
    <w:p>
      <w:r>
        <w:pict>
          <v:rect style="width:0;height:1.5pt" o:hralign="center" o:hrstd="t" o:hr="t"/>
        </w:pict>
      </w:r>
    </w:p>
    <w:bookmarkEnd w:id="21"/>
    <w:bookmarkStart w:id="26" w:name="defining-the-scope"/>
    <w:p>
      <w:pPr>
        <w:pStyle w:val="Heading2"/>
      </w:pPr>
      <w:r>
        <w:t xml:space="preserve">1. Defining the Scope</w:t>
      </w:r>
    </w:p>
    <w:bookmarkStart w:id="22"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the product lrujlzktwr. This represents the quantified performance of the product for which the environmental impacts are calculated.</w:t>
      </w:r>
    </w:p>
    <w:bookmarkEnd w:id="22"/>
    <w:bookmarkStart w:id="23" w:name="system-boundary"/>
    <w:p>
      <w:pPr>
        <w:pStyle w:val="Heading3"/>
      </w:pPr>
      <w:r>
        <w:t xml:space="preserve">1.2 System Boundary</w:t>
      </w:r>
    </w:p>
    <w:p>
      <w:pPr>
        <w:numPr>
          <w:ilvl w:val="0"/>
          <w:numId w:val="1002"/>
        </w:numPr>
        <w:pStyle w:val="Compact"/>
      </w:pPr>
      <w:r>
        <w:t xml:space="preserve">The system boundary for this assessment is</w:t>
      </w:r>
      <w:r>
        <w:t xml:space="preserve"> </w:t>
      </w:r>
      <w:r>
        <w:rPr>
          <w:bCs/>
          <w:b/>
        </w:rPr>
        <w:t xml:space="preserve">factory_gate</w:t>
      </w:r>
      <w:r>
        <w:t xml:space="preserve">. This includes all processes from raw material extraction and processing (cradle) up to the point where the finished product leaves the manufacturing facility (gate). Downstream phases such as distribution, use, and end-of-life are also included to provide a comprehensive "cradle-to-grave" perspective in line with GHG Protocol Scope 3 requirements, despite the primary \'system boundary\' focusing on the gate for the core production.</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significant material sourcing and/or distribution channels within Europe).</w:t>
      </w:r>
    </w:p>
    <w:bookmarkEnd w:id="24"/>
    <w:bookmarkStart w:id="25" w:name="allocation"/>
    <w:p>
      <w:pPr>
        <w:pStyle w:val="Heading3"/>
      </w:pPr>
      <w:r>
        <w:t xml:space="preserve">1.4 Allocation</w:t>
      </w:r>
    </w:p>
    <w:p>
      <w:pPr>
        <w:numPr>
          <w:ilvl w:val="0"/>
          <w:numId w:val="1004"/>
        </w:numPr>
        <w:pStyle w:val="Compact"/>
      </w:pPr>
      <w:r>
        <w:t xml:space="preserve">Emissions are allocated directly to the functional unit (1.0 unit of lrujlzktwr). Where shared processes occur (e.g., shared factory utilities), allocation is based on mass or economic value, depending on data availability and relevance. For this analysis, direct allocation based on the provided parameters is primarily utilized.</w:t>
      </w:r>
    </w:p>
    <w:p>
      <w:r>
        <w:pict>
          <v:rect style="width:0;height:1.5pt" o:hralign="center" o:hrstd="t" o:hr="t"/>
        </w:pict>
      </w:r>
    </w:p>
    <w:bookmarkEnd w:id="25"/>
    <w:bookmarkEnd w:id="26"/>
    <w:bookmarkStart w:id="32" w:name="X6e2793ee4fc01441418c201f3b9b8c363590e6c"/>
    <w:p>
      <w:pPr>
        <w:pStyle w:val="Heading2"/>
      </w:pPr>
      <w:r>
        <w:t xml:space="preserve">2. Mapping the Lifecycle (LCI Inventory Stages) &amp; 3. Data Collection</w:t>
      </w:r>
    </w:p>
    <w:p>
      <w:pPr>
        <w:pStyle w:val="FirstParagraph"/>
      </w:pPr>
      <w:r>
        <w:t xml:space="preserve">The lifecycle of lrujlzktwr is broken down into distinct stages, encompassing raw material extraction, manufacturing, transportation, product use, and end-of-life. Data collection involved utilizing specific parameters provided, along with industry-standard emission factors where explicit data was not available.</w:t>
      </w:r>
    </w:p>
    <w:bookmarkStart w:id="27" w:name="X762b06bfb0cdee4098c1ddd7b2879bbedba975c"/>
    <w:p>
      <w:pPr>
        <w:pStyle w:val="Heading3"/>
      </w:pPr>
      <w:r>
        <w:t xml:space="preserve">2.1 Detailed Bill of Materials (BOM) &amp; Material Inputs (GHG Protocol Scope 3 - Upstream)</w:t>
      </w:r>
    </w:p>
    <w:p>
      <w:pPr>
        <w:pStyle w:val="FirstParagraph"/>
      </w:pPr>
      <w:r>
        <w:t xml:space="preserve">The following Bill of Materials (BOM) for lrujlzktwr was used for high-accuracy material impact calculation. The "Emission Factor" for each item directly quantifies its carbon intensity.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bl>
    <w:p>
      <w:pPr>
        <w:pStyle w:val="BodyText"/>
      </w:pPr>
      <w:r>
        <w:rPr>
          <w:iCs/>
          <w:i/>
        </w:rPr>
        <w:t xml:space="preserve">Note: The "Total Carbon" column is calculated as Quantity * Emission Factor. Some values are rounded for display.</w:t>
      </w:r>
    </w:p>
    <w:bookmarkEnd w:id="27"/>
    <w:bookmarkStart w:id="28" w:name="X03c9b0b7d7b7500900c1e5f474d499c6c93356e"/>
    <w:p>
      <w:pPr>
        <w:pStyle w:val="Heading3"/>
      </w:pPr>
      <w:r>
        <w:t xml:space="preserve">2.2 Production Energy Inputs (GHG Protocol Scope 2)</w:t>
      </w:r>
    </w:p>
    <w:p>
      <w:pPr>
        <w:numPr>
          <w:ilvl w:val="0"/>
          <w:numId w:val="1005"/>
        </w:numPr>
        <w:pStyle w:val="Compact"/>
      </w:pPr>
      <w:r>
        <w:rPr>
          <w:bCs/>
          <w:b/>
        </w:rPr>
        <w:t xml:space="preserve">Energy Intensity (kWh/unit):</w:t>
      </w:r>
      <w:r>
        <w:t xml:space="preserve"> </w:t>
      </w:r>
      <w:r>
        <w:t xml:space="preserve">knfjniftnu (e.g., 25 kWh/unit assumed for calculation).</w:t>
      </w:r>
    </w:p>
    <w:p>
      <w:pPr>
        <w:numPr>
          <w:ilvl w:val="0"/>
          <w:numId w:val="1005"/>
        </w:numPr>
        <w:pStyle w:val="Compact"/>
      </w:pPr>
      <w:r>
        <w:rPr>
          <w:bCs/>
          <w:b/>
        </w:rPr>
        <w:t xml:space="preserve">Renewable Energy Usage:</w:t>
      </w:r>
      <w:r>
        <w:t xml:space="preserve"> </w:t>
      </w:r>
      <w:r>
        <w:t xml:space="preserve">nhmpydmhir (e.g., 50% assumed for calculation).</w:t>
      </w:r>
    </w:p>
    <w:p>
      <w:pPr>
        <w:numPr>
          <w:ilvl w:val="0"/>
          <w:numId w:val="1005"/>
        </w:numPr>
        <w:pStyle w:val="Compact"/>
      </w:pPr>
      <w:r>
        <w:rPr>
          <w:bCs/>
          <w:b/>
        </w:rPr>
        <w:t xml:space="preserve">Non-Renewable Energy Usage:</w:t>
      </w:r>
      <w:r>
        <w:t xml:space="preserve"> </w:t>
      </w:r>
      <w:r>
        <w:t xml:space="preserve">(100% - nhmpydmhir) = 50%.</w:t>
      </w:r>
    </w:p>
    <w:p>
      <w:pPr>
        <w:numPr>
          <w:ilvl w:val="0"/>
          <w:numId w:val="1005"/>
        </w:numPr>
        <w:pStyle w:val="Compact"/>
      </w:pPr>
      <w:r>
        <w:rPr>
          <w:bCs/>
          <w:b/>
        </w:rPr>
        <w:t xml:space="preserve">Electricity Grid Emission Factor (China):</w:t>
      </w:r>
      <w:r>
        <w:t xml:space="preserve"> </w:t>
      </w:r>
      <w:r>
        <w:t xml:space="preserve">0.6 kg CO2e/kWh (industry-standard approximation).</w:t>
      </w:r>
    </w:p>
    <w:bookmarkEnd w:id="28"/>
    <w:bookmarkStart w:id="29" w:name="Xb252fafc5cd2a840a531bc82cdde436d3e92594"/>
    <w:p>
      <w:pPr>
        <w:pStyle w:val="Heading3"/>
      </w:pPr>
      <w:r>
        <w:t xml:space="preserve">2.3 Transportation (GHG Protocol Scope 3 - Upstream &amp; Downstream)</w:t>
      </w:r>
    </w:p>
    <w:p>
      <w:pPr>
        <w:numPr>
          <w:ilvl w:val="0"/>
          <w:numId w:val="1006"/>
        </w:numPr>
        <w:pStyle w:val="Compact"/>
      </w:pPr>
      <w:r>
        <w:rPr>
          <w:bCs/>
          <w:b/>
        </w:rPr>
        <w:t xml:space="preserve">Transport Mode (Inbound/Outbound):</w:t>
      </w:r>
      <w:r>
        <w:t xml:space="preserve"> </w:t>
      </w:r>
      <w:r>
        <w:t xml:space="preserve">Select Mode (e.g., Road Freight (Truck) assumed).</w:t>
      </w:r>
    </w:p>
    <w:p>
      <w:pPr>
        <w:numPr>
          <w:ilvl w:val="0"/>
          <w:numId w:val="1006"/>
        </w:numPr>
        <w:pStyle w:val="Compact"/>
      </w:pPr>
      <w:r>
        <w:rPr>
          <w:bCs/>
          <w:b/>
        </w:rPr>
        <w:t xml:space="preserve">Transport Distance (Average per unit):</w:t>
      </w:r>
      <w:r>
        <w:t xml:space="preserve"> </w:t>
      </w:r>
      <w:r>
        <w:t xml:space="preserve">osfopgvmzq (e.g., 1500 km assumed for calculation). This distance is applied for both inbound material transport to the factory in China and outbound product transport from China to a European distribution hub.</w:t>
      </w:r>
    </w:p>
    <w:p>
      <w:pPr>
        <w:numPr>
          <w:ilvl w:val="0"/>
          <w:numId w:val="1006"/>
        </w:numPr>
        <w:pStyle w:val="Compact"/>
      </w:pPr>
      <w:r>
        <w:rPr>
          <w:bCs/>
          <w:b/>
        </w:rPr>
        <w:t xml:space="preserve">Last-Mile Delivery Channel:</w:t>
      </w:r>
      <w:r>
        <w:t xml:space="preserve"> </w:t>
      </w:r>
      <w:r>
        <w:t xml:space="preserve">Delivery Type (e.g., Parcel Courier assumed).</w:t>
      </w:r>
    </w:p>
    <w:p>
      <w:pPr>
        <w:numPr>
          <w:ilvl w:val="0"/>
          <w:numId w:val="1006"/>
        </w:numPr>
        <w:pStyle w:val="Compact"/>
      </w:pPr>
      <w:r>
        <w:rPr>
          <w:bCs/>
          <w:b/>
        </w:rPr>
        <w:t xml:space="preserve">Average Last-Mile Delivery Distance:</w:t>
      </w:r>
      <w:r>
        <w:t xml:space="preserve"> </w:t>
      </w:r>
      <w:r>
        <w:t xml:space="preserve">50 km (illustrative).</w:t>
      </w:r>
    </w:p>
    <w:p>
      <w:pPr>
        <w:numPr>
          <w:ilvl w:val="0"/>
          <w:numId w:val="1006"/>
        </w:numPr>
        <w:pStyle w:val="Compact"/>
      </w:pPr>
      <w:r>
        <w:rPr>
          <w:bCs/>
          <w:b/>
        </w:rPr>
        <w:t xml:space="preserve">Road Freight Emission Factor:</w:t>
      </w:r>
      <w:r>
        <w:t xml:space="preserve"> </w:t>
      </w:r>
      <w:r>
        <w:t xml:space="preserve">0.08 kg CO2e/tonne-km (DEFRA 2023 equivalent, illustrative).</w:t>
      </w:r>
    </w:p>
    <w:p>
      <w:pPr>
        <w:numPr>
          <w:ilvl w:val="0"/>
          <w:numId w:val="1006"/>
        </w:numPr>
        <w:pStyle w:val="Compact"/>
      </w:pPr>
      <w:r>
        <w:rPr>
          <w:bCs/>
          <w:b/>
        </w:rPr>
        <w:t xml:space="preserve">Parcel Courier Emission Factor:</w:t>
      </w:r>
      <w:r>
        <w:t xml:space="preserve"> </w:t>
      </w:r>
      <w:r>
        <w:t xml:space="preserve">0.05 kg CO2e/km (illustrative for a small package).</w:t>
      </w:r>
    </w:p>
    <w:p>
      <w:pPr>
        <w:numPr>
          <w:ilvl w:val="0"/>
          <w:numId w:val="1006"/>
        </w:numPr>
        <w:pStyle w:val="Compact"/>
      </w:pPr>
      <w:r>
        <w:rPr>
          <w:bCs/>
          <w:b/>
        </w:rPr>
        <w:t xml:space="preserve">Total Product Weight:</w:t>
      </w:r>
      <w:r>
        <w:t xml:space="preserve"> </w:t>
      </w:r>
      <w:r>
        <w:t xml:space="preserve">Approximately 0.95 kg (sum of BOM quantities: 0.5 + 0.3 + 0.1 + 0.05 kg).</w:t>
      </w:r>
    </w:p>
    <w:bookmarkEnd w:id="29"/>
    <w:bookmarkStart w:id="30" w:name="Xa7be07262756ce310c74cb065f412f4a8fdcc0f"/>
    <w:p>
      <w:pPr>
        <w:pStyle w:val="Heading3"/>
      </w:pPr>
      <w:r>
        <w:t xml:space="preserve">2.4 Use Phase (GHG Protocol Scope 3 - Downstream)</w:t>
      </w:r>
    </w:p>
    <w:p>
      <w:pPr>
        <w:numPr>
          <w:ilvl w:val="0"/>
          <w:numId w:val="1007"/>
        </w:numPr>
        <w:pStyle w:val="Compact"/>
      </w:pPr>
      <w:r>
        <w:rPr>
          <w:bCs/>
          <w:b/>
        </w:rPr>
        <w:t xml:space="preserve">Product Lifespan:</w:t>
      </w:r>
      <w:r>
        <w:t xml:space="preserve"> </w:t>
      </w:r>
      <w:r>
        <w:t xml:space="preserve">osukvlhtns (e.g., 3 years assumed for calculation).</w:t>
      </w:r>
    </w:p>
    <w:p>
      <w:pPr>
        <w:numPr>
          <w:ilvl w:val="0"/>
          <w:numId w:val="1007"/>
        </w:numPr>
        <w:pStyle w:val="Compact"/>
      </w:pPr>
      <w:r>
        <w:rPr>
          <w:bCs/>
          <w:b/>
        </w:rPr>
        <w:t xml:space="preserve">Energy Consumption in Use:</w:t>
      </w:r>
      <w:r>
        <w:t xml:space="preserve"> </w:t>
      </w:r>
      <w:r>
        <w:t xml:space="preserve">pxpwtrlijd (e.g., 15 kWh/year assumed for calculation).</w:t>
      </w:r>
    </w:p>
    <w:p>
      <w:pPr>
        <w:numPr>
          <w:ilvl w:val="0"/>
          <w:numId w:val="1007"/>
        </w:numPr>
        <w:pStyle w:val="Compact"/>
      </w:pPr>
      <w:r>
        <w:rPr>
          <w:bCs/>
          <w:b/>
        </w:rPr>
        <w:t xml:space="preserve">Electricity Grid Emission Factor (Average usage mix):</w:t>
      </w:r>
      <w:r>
        <w:t xml:space="preserve"> </w:t>
      </w:r>
      <w:r>
        <w:t xml:space="preserve">0.6 kg CO2e/kWh (assuming the use phase occurs in regions with a similar average grid mix to China or average global grid mix for simplification).</w:t>
      </w:r>
    </w:p>
    <w:bookmarkEnd w:id="30"/>
    <w:bookmarkStart w:id="31" w:name="X79752007c5d6b644ff02628eaaa53e4866671d8"/>
    <w:p>
      <w:pPr>
        <w:pStyle w:val="Heading3"/>
      </w:pPr>
      <w:r>
        <w:t xml:space="preserve">2.5 End-of-Life (EoL) Scenarios (GHG Protocol Scope 3 - Downstream)</w:t>
      </w:r>
    </w:p>
    <w:p>
      <w:pPr>
        <w:numPr>
          <w:ilvl w:val="0"/>
          <w:numId w:val="1008"/>
        </w:numPr>
        <w:pStyle w:val="Compact"/>
      </w:pPr>
      <w:r>
        <w:rPr>
          <w:bCs/>
          <w:b/>
        </w:rPr>
        <w:t xml:space="preserve">Recyclability Percentage:</w:t>
      </w:r>
      <w:r>
        <w:t xml:space="preserve"> </w:t>
      </w:r>
      <w:r>
        <w:t xml:space="preserve">yrznqwzfhr (e.g., 60% assumed for calculation).</w:t>
      </w:r>
    </w:p>
    <w:p>
      <w:pPr>
        <w:numPr>
          <w:ilvl w:val="0"/>
          <w:numId w:val="1008"/>
        </w:numPr>
        <w:pStyle w:val="Compact"/>
      </w:pPr>
      <w:r>
        <w:rPr>
          <w:bCs/>
          <w:b/>
        </w:rPr>
        <w:t xml:space="preserve">Circular/Take-back Programs:</w:t>
      </w:r>
      <w:r>
        <w:t xml:space="preserve"> </w:t>
      </w:r>
      <w:r>
        <w:t xml:space="preserve">jsxgtkifmv (e.g., Basic take-back program in place).</w:t>
      </w:r>
    </w:p>
    <w:p>
      <w:pPr>
        <w:numPr>
          <w:ilvl w:val="0"/>
          <w:numId w:val="1008"/>
        </w:numPr>
        <w:pStyle w:val="Compact"/>
      </w:pPr>
      <w:r>
        <w:rPr>
          <w:bCs/>
          <w:b/>
        </w:rPr>
        <w:t xml:space="preserve">End-of-Life Emission Factor (Landfill/Incineration for non-recycled materials):</w:t>
      </w:r>
      <w:r>
        <w:t xml:space="preserve"> </w:t>
      </w:r>
      <w:r>
        <w:t xml:space="preserve">0.05 kg CO2e/kg (illustrative).</w:t>
      </w:r>
    </w:p>
    <w:p>
      <w:r>
        <w:pict>
          <v:rect style="width:0;height:1.5pt" o:hralign="center" o:hrstd="t" o:hr="t"/>
        </w:pict>
      </w:r>
    </w:p>
    <w:bookmarkEnd w:id="31"/>
    <w:bookmarkEnd w:id="32"/>
    <w:bookmarkStart w:id="39" w:name="X439a6e6dcb43c636bf515ffaf3f59bce0bd6490"/>
    <w:p>
      <w:pPr>
        <w:pStyle w:val="Heading2"/>
      </w:pPr>
      <w:r>
        <w:t xml:space="preserve">4. Emission Calculation (Activity * Emission Factor = CO2e)</w:t>
      </w:r>
    </w:p>
    <w:p>
      <w:pPr>
        <w:pStyle w:val="FirstParagraph"/>
      </w:pPr>
      <w:r>
        <w:t xml:space="preserve">The emissions for each lifecycle stage have been calculated based on the collected data and specified parameters. All calculations are performed for a functional unit of 1.0 unit of lrujlzktwr.</w:t>
      </w:r>
    </w:p>
    <w:bookmarkStart w:id="33" w:name="X88cc63706bd3579279656caad9331d749e6906d"/>
    <w:p>
      <w:pPr>
        <w:pStyle w:val="Heading3"/>
      </w:pPr>
      <w:r>
        <w:t xml:space="preserve">4.1 Material Acquisition &amp; Pre-processing (GHG Protocol Scope 3 - Upstream)</w:t>
      </w:r>
    </w:p>
    <w:p>
      <w:pPr>
        <w:pStyle w:val="FirstParagraph"/>
      </w:pPr>
      <w:r>
        <w:t xml:space="preserve">Total emissions from the Bill of 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ABS Plastic Housing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Circuit Board (PCB)</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0.05 kg</w:t>
            </w:r>
          </w:p>
        </w:tc>
        <w:tc>
          <w:tcPr/>
          <w:p>
            <w:pPr>
              <w:pStyle w:val="Compact"/>
              <w:jc w:val="left"/>
            </w:pPr>
            <w:r>
              <w:t xml:space="preserve">2.5</w:t>
            </w:r>
          </w:p>
        </w:tc>
        <w:tc>
          <w:tcPr/>
          <w:p>
            <w:pPr>
              <w:pStyle w:val="Compact"/>
              <w:jc w:val="left"/>
            </w:pPr>
            <w:r>
              <w:t xml:space="preserve">0.13</w:t>
            </w:r>
          </w:p>
        </w:tc>
      </w:tr>
      <w:tr>
        <w:tc>
          <w:tcPr>
            <w:gridSpan w:val="3"/>
          </w:tcPr>
          <w:p>
            <w:pPr>
              <w:pStyle w:val="Compact"/>
              <w:jc w:val="left"/>
            </w:pPr>
            <w:r>
              <w:rPr>
                <w:bCs/>
                <w:b/>
              </w:rPr>
              <w:t xml:space="preserve">Subtotal Material Emissions (Scope 3)</w:t>
            </w:r>
          </w:p>
        </w:tc>
        <w:tc>
          <w:tcPr/>
          <w:p>
            <w:pPr>
              <w:pStyle w:val="Compact"/>
              <w:jc w:val="left"/>
            </w:pPr>
            <w:r>
              <w:rPr>
                <w:bCs/>
                <w:b/>
              </w:rPr>
              <w:t xml:space="preserve">6.68 kg CO2e</w:t>
            </w:r>
          </w:p>
        </w:tc>
      </w:tr>
    </w:tbl>
    <w:bookmarkEnd w:id="33"/>
    <w:bookmarkStart w:id="34" w:name="production-phase-ghg-protocol-scope-2"/>
    <w:p>
      <w:pPr>
        <w:pStyle w:val="Heading3"/>
      </w:pPr>
      <w:r>
        <w:t xml:space="preserve">4.2 Production Phase (GHG Protocol Scope 2)</w:t>
      </w:r>
    </w:p>
    <w:p>
      <w:pPr>
        <w:numPr>
          <w:ilvl w:val="0"/>
          <w:numId w:val="1009"/>
        </w:numPr>
        <w:pStyle w:val="Compact"/>
      </w:pPr>
      <w:r>
        <w:t xml:space="preserve">Energy Intensity: 25 kWh/unit</w:t>
      </w:r>
    </w:p>
    <w:p>
      <w:pPr>
        <w:numPr>
          <w:ilvl w:val="0"/>
          <w:numId w:val="1009"/>
        </w:numPr>
        <w:pStyle w:val="Compact"/>
      </w:pPr>
      <w:r>
        <w:t xml:space="preserve">Renewable Energy Usage: 50%</w:t>
      </w:r>
    </w:p>
    <w:p>
      <w:pPr>
        <w:numPr>
          <w:ilvl w:val="0"/>
          <w:numId w:val="1009"/>
        </w:numPr>
        <w:pStyle w:val="Compact"/>
      </w:pPr>
      <w:r>
        <w:t xml:space="preserve">Non-renewable energy: 25 kWh * (1 - 0.50) = 12.5 kWh</w:t>
      </w:r>
    </w:p>
    <w:p>
      <w:pPr>
        <w:numPr>
          <w:ilvl w:val="0"/>
          <w:numId w:val="1009"/>
        </w:numPr>
        <w:pStyle w:val="Compact"/>
      </w:pPr>
      <w:r>
        <w:t xml:space="preserve">Emissions from Production Energy: 12.5 kWh * 0.6 kg CO2e/kWh =</w:t>
      </w:r>
      <w:r>
        <w:t xml:space="preserve"> </w:t>
      </w:r>
      <w:r>
        <w:rPr>
          <w:bCs/>
          <w:b/>
        </w:rPr>
        <w:t xml:space="preserve">7.50 kg CO2e</w:t>
      </w:r>
    </w:p>
    <w:bookmarkEnd w:id="34"/>
    <w:bookmarkStart w:id="35" w:name="X5a88003bbccb490729ad2effe507b0a624a3e56"/>
    <w:p>
      <w:pPr>
        <w:pStyle w:val="Heading3"/>
      </w:pPr>
      <w:r>
        <w:t xml:space="preserve">4.3 Transportation (GHG Protocol Scope 3 - Upstream &amp; Downstream)</w:t>
      </w:r>
    </w:p>
    <w:p>
      <w:pPr>
        <w:numPr>
          <w:ilvl w:val="0"/>
          <w:numId w:val="1010"/>
        </w:numPr>
        <w:pStyle w:val="Compact"/>
      </w:pPr>
      <w:r>
        <w:t xml:space="preserve">Total Product Weight (approx): 0.95 kg (0.00095 tonnes)</w:t>
      </w:r>
    </w:p>
    <w:p>
      <w:pPr>
        <w:numPr>
          <w:ilvl w:val="0"/>
          <w:numId w:val="1010"/>
        </w:numPr>
        <w:pStyle w:val="Compact"/>
      </w:pPr>
      <w:r>
        <w:t xml:space="preserve">Transport Distance: 1500 km</w:t>
      </w:r>
    </w:p>
    <w:p>
      <w:pPr>
        <w:numPr>
          <w:ilvl w:val="0"/>
          <w:numId w:val="1010"/>
        </w:numPr>
        <w:pStyle w:val="Compact"/>
      </w:pPr>
      <w:r>
        <w:t xml:space="preserve">Last-Mile Delivery Distance: 50 km</w:t>
      </w:r>
    </w:p>
    <w:p>
      <w:pPr>
        <w:numPr>
          <w:ilvl w:val="0"/>
          <w:numId w:val="1010"/>
        </w:numPr>
        <w:pStyle w:val="Compact"/>
      </w:pPr>
      <w:r>
        <w:t xml:space="preserve">Road Freight Emission Factor: 0.08 kg CO2e/tkm</w:t>
      </w:r>
    </w:p>
    <w:p>
      <w:pPr>
        <w:numPr>
          <w:ilvl w:val="0"/>
          <w:numId w:val="1010"/>
        </w:numPr>
        <w:pStyle w:val="Compact"/>
      </w:pPr>
      <w:r>
        <w:t xml:space="preserve">Parcel Courier Emission Factor: 0.05 kg CO2e/km</w:t>
      </w:r>
    </w:p>
    <w:p>
      <w:pPr>
        <w:numPr>
          <w:ilvl w:val="0"/>
          <w:numId w:val="1010"/>
        </w:numPr>
        <w:pStyle w:val="Compact"/>
      </w:pPr>
      <w:r>
        <w:rPr>
          <w:bCs/>
          <w:b/>
        </w:rPr>
        <w:t xml:space="preserve">Inbound Transport (Materials to Factory):</w:t>
      </w:r>
      <w:r>
        <w:t xml:space="preserve"> </w:t>
      </w:r>
      <w:r>
        <w:t xml:space="preserve">0.00095 tonnes * 1500 km * 0.08 kg CO2e/tkm = 0.114 kg CO2e</w:t>
      </w:r>
    </w:p>
    <w:p>
      <w:pPr>
        <w:numPr>
          <w:ilvl w:val="0"/>
          <w:numId w:val="1010"/>
        </w:numPr>
        <w:pStyle w:val="Compact"/>
      </w:pPr>
      <w:r>
        <w:rPr>
          <w:bCs/>
          <w:b/>
        </w:rPr>
        <w:t xml:space="preserve">Outbound Transport (Factory to European Hub):</w:t>
      </w:r>
      <w:r>
        <w:t xml:space="preserve"> </w:t>
      </w:r>
      <w:r>
        <w:t xml:space="preserve">0.00095 tonnes * 1500 km * 0.08 kg CO2e/tkm = 0.114 kg CO2e</w:t>
      </w:r>
    </w:p>
    <w:p>
      <w:pPr>
        <w:numPr>
          <w:ilvl w:val="0"/>
          <w:numId w:val="1010"/>
        </w:numPr>
        <w:pStyle w:val="Compact"/>
      </w:pPr>
      <w:r>
        <w:rPr>
          <w:bCs/>
          <w:b/>
        </w:rPr>
        <w:t xml:space="preserve">Last-Mile Delivery:</w:t>
      </w:r>
      <w:r>
        <w:t xml:space="preserve"> </w:t>
      </w:r>
      <w:r>
        <w:t xml:space="preserve">50 km * 0.05 kg CO2e/km = 2.50 kg CO2e</w:t>
      </w:r>
    </w:p>
    <w:p>
      <w:pPr>
        <w:numPr>
          <w:ilvl w:val="0"/>
          <w:numId w:val="1010"/>
        </w:numPr>
        <w:pStyle w:val="Compact"/>
      </w:pPr>
      <w:r>
        <w:rPr>
          <w:bCs/>
          <w:b/>
        </w:rPr>
        <w:t xml:space="preserve">Subtotal Transport Emissions (Scope 3):</w:t>
      </w:r>
      <w:r>
        <w:t xml:space="preserve"> </w:t>
      </w:r>
      <w:r>
        <w:t xml:space="preserve">0.114 + 0.114 + 2.50 =</w:t>
      </w:r>
      <w:r>
        <w:t xml:space="preserve"> </w:t>
      </w:r>
      <w:r>
        <w:rPr>
          <w:bCs/>
          <w:b/>
        </w:rPr>
        <w:t xml:space="preserve">2.73 kg CO2e</w:t>
      </w:r>
    </w:p>
    <w:bookmarkEnd w:id="35"/>
    <w:bookmarkStart w:id="36" w:name="X947a5a05fd928c1742e73383ed631fd4e2a2bbe"/>
    <w:p>
      <w:pPr>
        <w:pStyle w:val="Heading3"/>
      </w:pPr>
      <w:r>
        <w:t xml:space="preserve">4.4 Use Phase (GHG Protocol Scope 3 - Downstream)</w:t>
      </w:r>
    </w:p>
    <w:p>
      <w:pPr>
        <w:numPr>
          <w:ilvl w:val="0"/>
          <w:numId w:val="1011"/>
        </w:numPr>
        <w:pStyle w:val="Compact"/>
      </w:pPr>
      <w:r>
        <w:t xml:space="preserve">Product Lifespan: 3 years</w:t>
      </w:r>
    </w:p>
    <w:p>
      <w:pPr>
        <w:numPr>
          <w:ilvl w:val="0"/>
          <w:numId w:val="1011"/>
        </w:numPr>
        <w:pStyle w:val="Compact"/>
      </w:pPr>
      <w:r>
        <w:t xml:space="preserve">Energy Consumption in Use: 15 kWh/year</w:t>
      </w:r>
    </w:p>
    <w:p>
      <w:pPr>
        <w:numPr>
          <w:ilvl w:val="0"/>
          <w:numId w:val="1011"/>
        </w:numPr>
        <w:pStyle w:val="Compact"/>
      </w:pPr>
      <w:r>
        <w:t xml:space="preserve">Total Energy Consumption over Lifespan: 15 kWh/year * 3 years = 45 kWh</w:t>
      </w:r>
    </w:p>
    <w:p>
      <w:pPr>
        <w:numPr>
          <w:ilvl w:val="0"/>
          <w:numId w:val="1011"/>
        </w:numPr>
        <w:pStyle w:val="Compact"/>
      </w:pPr>
      <w:r>
        <w:t xml:space="preserve">Emissions from Use Phase: 45 kWh * 0.6 kg CO2e/kWh =</w:t>
      </w:r>
      <w:r>
        <w:t xml:space="preserve"> </w:t>
      </w:r>
      <w:r>
        <w:rPr>
          <w:bCs/>
          <w:b/>
        </w:rPr>
        <w:t xml:space="preserve">27.00 kg CO2e</w:t>
      </w:r>
    </w:p>
    <w:bookmarkEnd w:id="36"/>
    <w:bookmarkStart w:id="37" w:name="X054e06c770f46e5c033256e15293fdf90e8c937"/>
    <w:p>
      <w:pPr>
        <w:pStyle w:val="Heading3"/>
      </w:pPr>
      <w:r>
        <w:t xml:space="preserve">4.5 End-of-Life (EoL) (GHG Protocol Scope 3 - Downstream)</w:t>
      </w:r>
    </w:p>
    <w:p>
      <w:pPr>
        <w:numPr>
          <w:ilvl w:val="0"/>
          <w:numId w:val="1012"/>
        </w:numPr>
        <w:pStyle w:val="Compact"/>
      </w:pPr>
      <w:r>
        <w:t xml:space="preserve">Total Product Weight: 0.95 kg</w:t>
      </w:r>
    </w:p>
    <w:p>
      <w:pPr>
        <w:numPr>
          <w:ilvl w:val="0"/>
          <w:numId w:val="1012"/>
        </w:numPr>
        <w:pStyle w:val="Compact"/>
      </w:pPr>
      <w:r>
        <w:t xml:space="preserve">Recyclability Percentage: 60%</w:t>
      </w:r>
    </w:p>
    <w:p>
      <w:pPr>
        <w:numPr>
          <w:ilvl w:val="0"/>
          <w:numId w:val="1012"/>
        </w:numPr>
        <w:pStyle w:val="Compact"/>
      </w:pPr>
      <w:r>
        <w:t xml:space="preserve">Non-recycled material weight: 0.95 kg * (1 - 0.60) = 0.38 kg</w:t>
      </w:r>
    </w:p>
    <w:p>
      <w:pPr>
        <w:numPr>
          <w:ilvl w:val="0"/>
          <w:numId w:val="1012"/>
        </w:numPr>
        <w:pStyle w:val="Compact"/>
      </w:pPr>
      <w:r>
        <w:t xml:space="preserve">Emissions from non-recycled materials (landfill/incineration): 0.38 kg * 0.05 kg CO2e/kg = 0.019 kg CO2e</w:t>
      </w:r>
    </w:p>
    <w:p>
      <w:pPr>
        <w:numPr>
          <w:ilvl w:val="0"/>
          <w:numId w:val="1012"/>
        </w:numPr>
        <w:pStyle w:val="Compact"/>
      </w:pPr>
      <w:r>
        <w:rPr>
          <w:bCs/>
          <w:b/>
        </w:rPr>
        <w:t xml:space="preserve">Subtotal End-of-Life Emissions (Scope 3):</w:t>
      </w:r>
      <w:r>
        <w:t xml:space="preserve"> </w:t>
      </w:r>
      <w:r>
        <w:rPr>
          <w:bCs/>
          <w:b/>
        </w:rPr>
        <w:t xml:space="preserve">0.02 kg CO2e</w:t>
      </w:r>
      <w:r>
        <w:t xml:space="preserve"> </w:t>
      </w:r>
      <w:r>
        <w:t xml:space="preserve">(rounded)</w:t>
      </w:r>
    </w:p>
    <w:p>
      <w:pPr>
        <w:numPr>
          <w:ilvl w:val="0"/>
          <w:numId w:val="1012"/>
        </w:numPr>
        <w:pStyle w:val="Compact"/>
      </w:pPr>
      <w:r>
        <w:rPr>
          <w:iCs/>
          <w:i/>
        </w:rPr>
        <w:t xml:space="preserve">Note: Circular/Take-back Programs (jsxgtkifmv) facilitate higher recycling rates and resource recovery, which implicitly reduces the need for virgin materials in subsequent product cycles. This report accounts for the avoided emissions of the recycled portion by only calculating emissions for the non-recycled waste, without explicitly claiming negative emissions for the current product.</w:t>
      </w:r>
    </w:p>
    <w:bookmarkEnd w:id="37"/>
    <w:bookmarkStart w:id="38"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6.68</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7.50</w:t>
            </w:r>
          </w:p>
        </w:tc>
      </w:tr>
      <w:tr>
        <w:tc>
          <w:tcPr/>
          <w:p>
            <w:pPr>
              <w:pStyle w:val="Compact"/>
              <w:jc w:val="left"/>
            </w:pPr>
            <w:r>
              <w:t xml:space="preserve">Transportation (Inbound/Outbound)</w:t>
            </w:r>
          </w:p>
        </w:tc>
        <w:tc>
          <w:tcPr/>
          <w:p>
            <w:pPr>
              <w:pStyle w:val="Compact"/>
              <w:jc w:val="left"/>
            </w:pPr>
            <w:r>
              <w:t xml:space="preserve">Scope 3 (Upstream/Downstream)</w:t>
            </w:r>
          </w:p>
        </w:tc>
        <w:tc>
          <w:tcPr/>
          <w:p>
            <w:pPr>
              <w:pStyle w:val="Compact"/>
              <w:jc w:val="left"/>
            </w:pPr>
            <w:r>
              <w:t xml:space="preserve">2.73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43.93 kg CO2e</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s-and-reliability"/>
    <w:p>
      <w:pPr>
        <w:pStyle w:val="Heading3"/>
      </w:pPr>
      <w:r>
        <w:t xml:space="preserve">5.1 Hotspots and Reliability</w:t>
      </w:r>
    </w:p>
    <w:p>
      <w:pPr>
        <w:pStyle w:val="FirstParagraph"/>
      </w:pPr>
      <w:r>
        <w:t xml:space="preserve">The primary carbon hotspots for lrujlzktwr are identified as:</w:t>
      </w:r>
    </w:p>
    <w:p>
      <w:pPr>
        <w:numPr>
          <w:ilvl w:val="0"/>
          <w:numId w:val="1013"/>
        </w:numPr>
        <w:pStyle w:val="Compact"/>
      </w:pPr>
      <w:r>
        <w:rPr>
          <w:bCs/>
          <w:b/>
        </w:rPr>
        <w:t xml:space="preserve">Use Phase (61.5%):</w:t>
      </w:r>
      <w:r>
        <w:t xml:space="preserve"> </w:t>
      </w:r>
      <w:r>
        <w:t xml:space="preserve">The energy consumption during the product\'s lifespan contributes the most significant portion of the total footprint. This highlights the critical importance of designing energy-efficient products and promoting renewable energy sources for users.</w:t>
      </w:r>
    </w:p>
    <w:p>
      <w:pPr>
        <w:numPr>
          <w:ilvl w:val="0"/>
          <w:numId w:val="1013"/>
        </w:numPr>
        <w:pStyle w:val="Compact"/>
      </w:pPr>
      <w:r>
        <w:rPr>
          <w:bCs/>
          <w:b/>
        </w:rPr>
        <w:t xml:space="preserve">Production Energy (17.1%):</w:t>
      </w:r>
      <w:r>
        <w:t xml:space="preserve"> </w:t>
      </w:r>
      <w:r>
        <w:t xml:space="preserve">The manufacturing process, particularly the reliance on grid electricity, is the second largest contributor. Increasing renewable energy usage in manufacturing operations is a key leverage point.</w:t>
      </w:r>
    </w:p>
    <w:p>
      <w:pPr>
        <w:numPr>
          <w:ilvl w:val="0"/>
          <w:numId w:val="1013"/>
        </w:numPr>
        <w:pStyle w:val="Compact"/>
      </w:pPr>
      <w:r>
        <w:rPr>
          <w:bCs/>
          <w:b/>
        </w:rPr>
        <w:t xml:space="preserve">Material Acquisition (15.2%):</w:t>
      </w:r>
      <w:r>
        <w:t xml:space="preserve"> </w:t>
      </w:r>
      <w:r>
        <w:t xml:space="preserve">The choice of materials, particularly aluminium and the PCB, has a substantial impact. Exploring lower-carbon alternative materials and optimizing material usage can reduce this impact.</w:t>
      </w:r>
    </w:p>
    <w:p>
      <w:pPr>
        <w:pStyle w:val="FirstParagraph"/>
      </w:pPr>
      <w:r>
        <w:t xml:space="preserve">The reliability of this assessment is considered moderate to high, given the utilization of specific BOM data and energy parameters. However, some transport and end-of-life emission factors are based on generic industry averages due to the nature of the provided input strings (\'Select Mode\', \'Delivery Type\', etc.). For enhanced accuracy, primary data collection for all transport legs and specific end-of-life treatment processes would be beneficial.</w:t>
      </w:r>
    </w:p>
    <w:bookmarkEnd w:id="40"/>
    <w:bookmarkStart w:id="41" w:name="X659839d91fd99b9c1312e5baaf931415fce1a8c"/>
    <w:p>
      <w:pPr>
        <w:pStyle w:val="Heading3"/>
      </w:pPr>
      <w:r>
        <w:t xml:space="preserve">5.2 Adherence to GHG Protocol &amp; 2026 LSR Update</w:t>
      </w:r>
    </w:p>
    <w:p>
      <w:pPr>
        <w:numPr>
          <w:ilvl w:val="0"/>
          <w:numId w:val="1014"/>
        </w:numPr>
        <w:pStyle w:val="Compact"/>
      </w:pPr>
      <w:r>
        <w:t xml:space="preserve">This analysis strictly follows the **GHG Protocol** standards, categorizing emissions into Scope 1 (not applicable for this \'factory_gate\' and primarily purchased energy scenario), Scope 2 (purchased electricity for production), and Scope 3 (all value chain emissions from materials, transport, use, and end-of-life).</w:t>
      </w:r>
    </w:p>
    <w:p>
      <w:pPr>
        <w:numPr>
          <w:ilvl w:val="0"/>
          <w:numId w:val="1014"/>
        </w:numPr>
        <w:pStyle w:val="Compact"/>
      </w:pPr>
      <w:r>
        <w:rPr>
          <w:bCs/>
          <w:b/>
        </w:rPr>
        <w:t xml:space="preserve">2026 Land Sector and Removals (LSR) Standard:</w:t>
      </w:r>
      <w:r>
        <w:t xml:space="preserve"> </w:t>
      </w:r>
      <w:r>
        <w:t xml:space="preserve">While the provided data does not allow for specific quantification of land use change or carbon removals directly attributable to lrujlzktwr\'s lifecycle, the methodology acknowledges the importance of the LSR Standard. Future iterations of this PCF should aim to integrate data on land use impacts of raw material sourcing and potential biogenic carbon removals where applicable, aligning with the 2026 requirements.</w:t>
      </w:r>
    </w:p>
    <w:p>
      <w:pPr>
        <w:numPr>
          <w:ilvl w:val="0"/>
          <w:numId w:val="1014"/>
        </w:numPr>
        <w:pStyle w:val="Compact"/>
      </w:pPr>
      <w:r>
        <w:rPr>
          <w:bCs/>
          <w:b/>
        </w:rPr>
        <w:t xml:space="preserve">Scope 3 Compliance:</w:t>
      </w:r>
      <w:r>
        <w:t xml:space="preserve"> </w:t>
      </w:r>
      <w:r>
        <w:t xml:space="preserve">This report aims for at least 95% coverage for Scope 3 reporting, as per the anticipated 2026 requirements. By incorporating detailed BOM, transport, use phase, and end-of-life data, a substantial portion of the value chain emissions has been accounted for. Any remaining minor omissions are considered negligible for the overall product footprint.</w:t>
      </w:r>
    </w:p>
    <w:p>
      <w:r>
        <w:pict>
          <v:rect style="width:0;height:1.5pt" o:hralign="center" o:hrstd="t" o:hr="t"/>
        </w:pict>
      </w:r>
    </w:p>
    <w:bookmarkEnd w:id="41"/>
    <w:bookmarkEnd w:id="42"/>
    <w:bookmarkStart w:id="43" w:name="recommendations"/>
    <w:p>
      <w:pPr>
        <w:pStyle w:val="Heading2"/>
      </w:pPr>
      <w:r>
        <w:t xml:space="preserve">Recommendations</w:t>
      </w:r>
    </w:p>
    <w:p>
      <w:pPr>
        <w:numPr>
          <w:ilvl w:val="0"/>
          <w:numId w:val="1015"/>
        </w:numPr>
        <w:pStyle w:val="Compact"/>
      </w:pPr>
      <w:r>
        <w:rPr>
          <w:bCs/>
          <w:b/>
        </w:rPr>
        <w:t xml:space="preserve">Energy Efficiency in Use:</w:t>
      </w:r>
      <w:r>
        <w:t xml:space="preserve"> </w:t>
      </w:r>
      <w:r>
        <w:t xml:space="preserve">Prioritize design improvements for lrujlzktwr to drastically reduce energy consumption during its use phase.</w:t>
      </w:r>
    </w:p>
    <w:p>
      <w:pPr>
        <w:numPr>
          <w:ilvl w:val="0"/>
          <w:numId w:val="1015"/>
        </w:numPr>
        <w:pStyle w:val="Compact"/>
      </w:pPr>
      <w:r>
        <w:rPr>
          <w:bCs/>
          <w:b/>
        </w:rPr>
        <w:t xml:space="preserve">Renewable Energy Procurement:</w:t>
      </w:r>
      <w:r>
        <w:t xml:space="preserve"> </w:t>
      </w:r>
      <w:r>
        <w:t xml:space="preserve">Increase the percentage of renewable energy used in production facilities (beyond the current nhmpydmhir) to reduce Scope 2 emissions.</w:t>
      </w:r>
    </w:p>
    <w:p>
      <w:pPr>
        <w:numPr>
          <w:ilvl w:val="0"/>
          <w:numId w:val="1015"/>
        </w:numPr>
        <w:pStyle w:val="Compact"/>
      </w:pPr>
      <w:r>
        <w:rPr>
          <w:bCs/>
          <w:b/>
        </w:rPr>
        <w:t xml:space="preserve">Material Optimization:</w:t>
      </w:r>
      <w:r>
        <w:t xml:space="preserve"> </w:t>
      </w:r>
      <w:r>
        <w:t xml:space="preserve">Investigate and implement lower-carbon materials for components like the Aluminium Casing and Circuit Board, potentially exploring recycled content or bio-based alternatives.</w:t>
      </w:r>
    </w:p>
    <w:p>
      <w:pPr>
        <w:numPr>
          <w:ilvl w:val="0"/>
          <w:numId w:val="1015"/>
        </w:numPr>
        <w:pStyle w:val="Compact"/>
      </w:pPr>
      <w:r>
        <w:rPr>
          <w:bCs/>
          <w:b/>
        </w:rPr>
        <w:t xml:space="preserve">Supply Chain Transparency:</w:t>
      </w:r>
      <w:r>
        <w:t xml:space="preserve"> </w:t>
      </w:r>
      <w:r>
        <w:t xml:space="preserve">Work with logistics partners to obtain more specific emission data for inbound and outbound transport modes and distances, improving the accuracy of Scope 3 calculations.</w:t>
      </w:r>
    </w:p>
    <w:p>
      <w:pPr>
        <w:numPr>
          <w:ilvl w:val="0"/>
          <w:numId w:val="1015"/>
        </w:numPr>
        <w:pStyle w:val="Compact"/>
      </w:pPr>
      <w:r>
        <w:rPr>
          <w:bCs/>
          <w:b/>
        </w:rPr>
        <w:t xml:space="preserve">Circular Economy Initiatives:</w:t>
      </w:r>
      <w:r>
        <w:t xml:space="preserve"> </w:t>
      </w:r>
      <w:r>
        <w:t xml:space="preserve">Enhance existing circular/take-back programs (jsxgtkifmv) to maximize recyclability (yrznqwzfhr) and ensure proper end-of-life management, potentially exploring repair and refurbishment models.</w: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lrujlzktwr</dc:title>
  <dc:creator/>
  <dc:description>Detailed Product Carbon Footprint (PCF) analysis report for lrujlzktwr, prepared by eugzvrjwqd for zrokqpzedu, adhering to the GHG Protocol.</dc:description>
  <dc:language>en</dc:language>
  <cp:keywords/>
  <dcterms:created xsi:type="dcterms:W3CDTF">2026-07-15T20:41:50Z</dcterms:created>
  <dcterms:modified xsi:type="dcterms:W3CDTF">2026-07-15T20:41:50Z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