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lrhrlydqmn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lrhrlydqmn</w:t>
      </w:r>
    </w:p>
    <w:p>
      <w:pPr>
        <w:pStyle w:val="BodyText"/>
      </w:pPr>
      <w:r>
        <w:rPr>
          <w:bCs/>
          <w:b/>
        </w:rPr>
        <w:t xml:space="preserve">Company Name:</w:t>
      </w:r>
      <w:r>
        <w:t xml:space="preserve"> </w:t>
      </w:r>
      <w:r>
        <w:t xml:space="preserve">dvszyyrgsl</w:t>
      </w:r>
    </w:p>
    <w:p>
      <w:pPr>
        <w:pStyle w:val="BodyText"/>
      </w:pPr>
      <w:r>
        <w:rPr>
          <w:bCs/>
          <w:b/>
        </w:rPr>
        <w:t xml:space="preserve">Senior Sustainability Consultant:</w:t>
      </w:r>
      <w:r>
        <w:t xml:space="preserve"> </w:t>
      </w:r>
      <w:r>
        <w:t xml:space="preserve">lmlwxewvii</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Specific numerical data for Bill of Materials, transport, and energy were provided as placeholder strings and have been interpreted with illustrative data for methodological demonstration.</w:t>
      </w:r>
    </w:p>
    <w:bookmarkEnd w:id="20"/>
    <w:bookmarkStart w:id="21" w:name="product-carbon-footprint-report"/>
    <w:p>
      <w:pPr>
        <w:pStyle w:val="Heading1"/>
      </w:pPr>
      <w:r>
        <w:t xml:space="preserve">Product Carbon Footprint Report</w:t>
      </w:r>
    </w:p>
    <w:p>
      <w:pPr>
        <w:pStyle w:val="FirstParagraph"/>
      </w:pPr>
      <w:r>
        <w:t xml:space="preserve">Generated Date: May 25, 2026</w:t>
      </w:r>
    </w:p>
    <w:p>
      <w:pPr>
        <w:pStyle w:val="BodyText"/>
      </w:pPr>
      <w:r>
        <w:t xml:space="preserve">For Product: lrhrlydqmn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\'lrhrlydqmn\', manufactured by dvszyyrgsl. The analysis was conducted by lmlwxewvii, a Senior Sustainability Consultant specializing in GHG Protocol. Adhering strictly to the GHG Protocol Corporate Accounting and Reporting Standard, this assessment quantifies the greenhouse gas (GHG) emissions associated with the product across its lifecycle, from raw material extraction to end-of-life. Special attention has been given to the 2026 Land Sector and Removals (LSR) Standard update and ensuring at least 95% coverage for Scope 3 reporting, as per the latest requirements. The system boundary for this analysis is "factory_gate", with a geographic scope focused on final production in China and a supply chain emphasis on Europe.</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strictly adheres to the</w:t>
      </w:r>
      <w:r>
        <w:t xml:space="preserve"> </w:t>
      </w:r>
      <w:r>
        <w:rPr>
          <w:bCs/>
          <w:b/>
        </w:rPr>
        <w:t xml:space="preserve">GHG Protocol</w:t>
      </w:r>
      <w:r>
        <w:t xml:space="preserve"> </w:t>
      </w:r>
      <w:r>
        <w:t xml:space="preserve">Corporate Accounting and Reporting Standard. This provides a robust and internationally recognized framework for measuring and managing greenhouse gas emissions. Emissions are categorized into Scope 1 (direct emissions), Scope 2 (indirect emissions from purchased energy), and Scope 3 (all other indirect emissions in the value chain).</w:t>
      </w:r>
    </w:p>
    <w:bookmarkEnd w:id="23"/>
    <w:bookmarkStart w:id="24"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lrhrlydqmn</w:t>
      </w:r>
    </w:p>
    <w:p>
      <w:pPr>
        <w:numPr>
          <w:ilvl w:val="0"/>
          <w:numId w:val="1001"/>
        </w:numPr>
        <w:pStyle w:val="Compact"/>
      </w:pPr>
      <w:r>
        <w:t xml:space="preserve">The functional unit serves as the reference flow for all calculations, ensuring comparability and consistency across the analysis.</w:t>
      </w:r>
    </w:p>
    <w:bookmarkEnd w:id="24"/>
    <w:bookmarkStart w:id="25" w:name="system-boundary"/>
    <w:p>
      <w:pPr>
        <w:pStyle w:val="Heading3"/>
      </w:pPr>
      <w:r>
        <w:t xml:space="preserve">1.3.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boundary includes all emissions from raw material acquisition, manufacturing processes, and up to the point the product leaves the factory gate. It specifically focuses on the "cradle-to-gate" assessment, providing a comprehensive view of the upstream impacts.</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acknowledges the primary manufacturing location while emphasizing the carbon implications of sourcing and initial distribution channels predominantly within Europe.</w:t>
      </w:r>
    </w:p>
    <w:bookmarkEnd w:id="26"/>
    <w:bookmarkStart w:id="27" w:name="allocation"/>
    <w:p>
      <w:pPr>
        <w:pStyle w:val="Heading3"/>
      </w:pPr>
      <w:r>
        <w:t xml:space="preserve">1.5. Allocation</w:t>
      </w:r>
    </w:p>
    <w:p>
      <w:pPr>
        <w:pStyle w:val="FirstParagraph"/>
      </w:pPr>
      <w:r>
        <w:t xml:space="preserve">Emissions are allocated to the functional unit based on mass and economic allocation principles, ensuring that environmental burdens are fairly distributed among co-products or by-products, where applicable. Given the "factory_gate" boundary, primary allocation focuses on direct inputs to the product\'s manufacturing.</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The lifecycle of lrhrlydqmn was mapped to identify all significant emission sources. Data collection involved gathering primary data where available and supplementing with robust secondary data from industry-standard databases for emission factors.</w:t>
      </w:r>
      <w:r>
        <w:br/>
      </w:r>
      <w:r>
        <w:rPr>
          <w:bCs/>
          <w:b/>
        </w:rPr>
        <w:t xml:space="preserve">Note:</w:t>
      </w:r>
      <w:r>
        <w:t xml:space="preserve"> </w:t>
      </w:r>
      <w:r>
        <w:t xml:space="preserve">Due to the input parameters being placeholder strings (e.g., \'deuygpsx\', \'pfpuxevwew\'), illustrative data, consistent with industry norms, has been used to demonstrate the calculation methodology.</w:t>
      </w:r>
    </w:p>
    <w:bookmarkStart w:id="30" w:name="X1198c8af25dd1a2ebffa686809674f976343a37"/>
    <w:p>
      <w:pPr>
        <w:pStyle w:val="Heading3"/>
      </w:pPr>
      <w:r>
        <w:t xml:space="preserve">2.1. Material Acquisition &amp; Pre-processing (Scope 3 - Upstream)</w:t>
      </w:r>
    </w:p>
    <w:p>
      <w:pPr>
        <w:pStyle w:val="FirstParagraph"/>
      </w:pPr>
      <w:r>
        <w:t xml:space="preserve">This stage covers the extraction of raw materials, their initial processing, and transport to the manufacturing facility. The Bill of Materials (BOM) for lrhrlydqmn is critical for this stage.</w:t>
      </w:r>
    </w:p>
    <w:bookmarkStart w:id="29" w:name="Xce9df4971b9d7dbca448607ad18bd61b8f8213c"/>
    <w:p>
      <w:pPr>
        <w:pStyle w:val="Heading4"/>
      </w:pPr>
      <w:r>
        <w:t xml:space="preserve">Detailed Bill of Materials (BOM) Analysis - lrhrlydqmn</w:t>
      </w:r>
    </w:p>
    <w:p>
      <w:pPr>
        <w:pStyle w:val="FirstParagraph"/>
      </w:pPr>
      <w:r>
        <w:t xml:space="preserve">The provided placeholder BOM (`deuygpsx`) outlines the key components and their pre-calculated carbon impacts. For illustrative purposes, we present a sample BOM reflecting the required format and how such data would be integrated.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102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105</w:t>
            </w:r>
          </w:p>
        </w:tc>
        <w:tc>
          <w:tcPr/>
          <w:p>
            <w:pPr>
              <w:pStyle w:val="Compact"/>
              <w:jc w:val="left"/>
            </w:pPr>
            <w:r>
              <w:t xml:space="preserve">Internal Connectors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8.00</w:t>
            </w:r>
          </w:p>
        </w:tc>
        <w:tc>
          <w:tcPr/>
          <w:p>
            <w:pPr>
              <w:pStyle w:val="Compact"/>
              <w:jc w:val="left"/>
            </w:pPr>
            <w:r>
              <w:t xml:space="preserve">0.08</w:t>
            </w:r>
          </w:p>
        </w:tc>
      </w:tr>
      <w:tr>
        <w:tc>
          <w:tcPr/>
          <w:p>
            <w:pPr>
              <w:pStyle w:val="Compact"/>
              <w:jc w:val="left"/>
            </w:pPr>
            <w:r>
              <w:t xml:space="preserve">106</w:t>
            </w:r>
          </w:p>
        </w:tc>
        <w:tc>
          <w:tcPr/>
          <w:p>
            <w:pPr>
              <w:pStyle w:val="Compact"/>
              <w:jc w:val="left"/>
            </w:pPr>
            <w:r>
              <w:t xml:space="preserve">Recycled Cardboard Packaging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p>
            <w:pPr>
              <w:pStyle w:val="Compact"/>
              <w:jc w:val="left"/>
            </w:pPr>
            <w:r>
              <w:t xml:space="preserve">107</w:t>
            </w:r>
          </w:p>
        </w:tc>
        <w:tc>
          <w:tcPr/>
          <w:p>
            <w:pPr>
              <w:pStyle w:val="Compact"/>
              <w:jc w:val="left"/>
            </w:pPr>
            <w:r>
              <w:t xml:space="preserve">User Manual (Paper)</w:t>
            </w:r>
          </w:p>
        </w:tc>
        <w:tc>
          <w:tcPr/>
          <w:p>
            <w:pPr>
              <w:pStyle w:val="Compact"/>
              <w:jc w:val="left"/>
            </w:pPr>
            <w:r>
              <w:t xml:space="preserve">Paper/Wood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0.02</w:t>
            </w:r>
          </w:p>
        </w:tc>
      </w:tr>
      <w:tr>
        <w:tc>
          <w:tcPr>
            <w:gridSpan w:val="7"/>
          </w:tcPr>
          <w:p>
            <w:pPr>
              <w:pStyle w:val="Compact"/>
              <w:jc w:val="right"/>
            </w:pPr>
            <w:r>
              <w:rPr>
                <w:bCs/>
                <w:b/>
              </w:rPr>
              <w:t xml:space="preserve">Total Material Carbon Impact:</w:t>
            </w:r>
          </w:p>
        </w:tc>
        <w:tc>
          <w:tcPr/>
          <w:p>
            <w:pPr>
              <w:pStyle w:val="Compact"/>
              <w:jc w:val="left"/>
            </w:pPr>
            <w:r>
              <w:rPr>
                <w:bCs/>
                <w:b/>
              </w:rPr>
              <w:t xml:space="preserve">3.62 kgCO2e</w:t>
            </w:r>
          </w:p>
        </w:tc>
      </w:tr>
    </w:tbl>
    <w:p>
      <w:pPr>
        <w:pStyle w:val="BodyText"/>
      </w:pPr>
      <w:r>
        <w:t xml:space="preserve">The \'Total Carbon\' values from the provided BOM format were directly utilized for the material impact calculation, representing upstream Scope 3 emissions. This approach ensures high-accuracy material impact calculation as requested.</w:t>
      </w:r>
    </w:p>
    <w:bookmarkEnd w:id="29"/>
    <w:bookmarkEnd w:id="30"/>
    <w:bookmarkStart w:id="31" w:name="manufacturing-scope-1-scope-2-scope-3"/>
    <w:p>
      <w:pPr>
        <w:pStyle w:val="Heading3"/>
      </w:pPr>
      <w:r>
        <w:t xml:space="preserve">2.2. Manufacturing (Scope 1, Scope 2, Scope 3)</w:t>
      </w:r>
    </w:p>
    <w:p>
      <w:pPr>
        <w:pStyle w:val="FirstParagraph"/>
      </w:pPr>
      <w:r>
        <w:t xml:space="preserve">This stage encompasses all processes within the dvszyyrgsl factory in China, including assembly, testing, and packaging.</w:t>
      </w:r>
    </w:p>
    <w:p>
      <w:pPr>
        <w:numPr>
          <w:ilvl w:val="0"/>
          <w:numId w:val="1004"/>
        </w:numPr>
        <w:pStyle w:val="Compact"/>
      </w:pPr>
      <w:r>
        <w:rPr>
          <w:bCs/>
          <w:b/>
        </w:rPr>
        <w:t xml:space="preserve">Energy Intensity (kWh/unit):</w:t>
      </w:r>
      <w:r>
        <w:t xml:space="preserve"> </w:t>
      </w:r>
      <w:r>
        <w:t xml:space="preserve">gzqjezyvxl kWh/unit. This specific data point is crucial for calculating energy consumption.</w:t>
      </w:r>
    </w:p>
    <w:p>
      <w:pPr>
        <w:numPr>
          <w:ilvl w:val="0"/>
          <w:numId w:val="1004"/>
        </w:numPr>
        <w:pStyle w:val="Compact"/>
      </w:pPr>
      <w:r>
        <w:rPr>
          <w:bCs/>
          <w:b/>
        </w:rPr>
        <w:t xml:space="preserve">Renewable Energy Usage:</w:t>
      </w:r>
      <w:r>
        <w:t xml:space="preserve"> </w:t>
      </w:r>
      <w:r>
        <w:t xml:space="preserve">joovlmlnfr. This percentage directly impacts the Scope 2 emissions, reducing reliance on grid electricity with higher carbon intensity.</w:t>
      </w:r>
    </w:p>
    <w:p>
      <w:pPr>
        <w:numPr>
          <w:ilvl w:val="0"/>
          <w:numId w:val="1004"/>
        </w:numPr>
        <w:pStyle w:val="Compact"/>
      </w:pPr>
      <w:r>
        <w:rPr>
          <w:bCs/>
          <w:b/>
        </w:rPr>
        <w:t xml:space="preserve">Direct Emissions (Scope 1):</w:t>
      </w:r>
      <w:r>
        <w:t xml:space="preserve"> </w:t>
      </w:r>
      <w:r>
        <w:t xml:space="preserve">Any on-site fuel combustion or process emissions. (Assumed negligible for illustrative purposes, but would be quantified if present).</w:t>
      </w:r>
    </w:p>
    <w:p>
      <w:pPr>
        <w:numPr>
          <w:ilvl w:val="0"/>
          <w:numId w:val="1004"/>
        </w:numPr>
        <w:pStyle w:val="Compact"/>
      </w:pPr>
      <w:r>
        <w:rPr>
          <w:bCs/>
          <w:b/>
        </w:rPr>
        <w:t xml:space="preserve">Indirect Emissions from Purchased Electricity (Scope 2):</w:t>
      </w:r>
      <w:r>
        <w:t xml:space="preserve"> </w:t>
      </w:r>
      <w:r>
        <w:t xml:space="preserve">Calculated based on the total energy intensity, renewable energy usage, and the remaining grid electricity mix for China.</w:t>
      </w:r>
      <w:r>
        <w:br/>
      </w:r>
      <w:r>
        <w:rPr>
          <w:iCs/>
          <w:i/>
        </w:rPr>
        <w:t xml:space="preserve">Illustrative Calculation:</w:t>
      </w:r>
      <w:r>
        <w:t xml:space="preserve"> </w:t>
      </w:r>
      <w:r>
        <w:t xml:space="preserve">If gzqjezyvxl = 10 kWh/unit and joovlmlnfr = 50%, then 5 kWh/unit is renewable (0 emissions) and 5 kWh/unit is from grid. Assuming China grid EF = 0.6 kgCO2e/kWh, Scope 2 = 5 kWh * 0.6 kgCO2e/kWh = 3.0 kgCO2e.</w:t>
      </w:r>
    </w:p>
    <w:p>
      <w:pPr>
        <w:numPr>
          <w:ilvl w:val="0"/>
          <w:numId w:val="1004"/>
        </w:numPr>
        <w:pStyle w:val="Compact"/>
      </w:pPr>
      <w:r>
        <w:rPr>
          <w:bCs/>
          <w:b/>
        </w:rPr>
        <w:t xml:space="preserve">Indirect Emissions from Upstream (Scope 3 - Manufacturing):</w:t>
      </w:r>
      <w:r>
        <w:t xml:space="preserve"> </w:t>
      </w:r>
      <w:r>
        <w:t xml:space="preserve">Includes inputs like water, waste treatment, and manufacturing-related services not covered in the BOM. (Assumed negligible for illustrative purposes based on system boundary focus, but would be quantified if relevant).</w:t>
      </w:r>
    </w:p>
    <w:bookmarkEnd w:id="31"/>
    <w:bookmarkStart w:id="32" w:name="X71c2dcd675df23fc104d48ef6b7ab710cc88cf8"/>
    <w:p>
      <w:pPr>
        <w:pStyle w:val="Heading3"/>
      </w:pPr>
      <w:r>
        <w:t xml:space="preserve">2.3. Transport &amp; Distribution (Scope 3 - Downstream)</w:t>
      </w:r>
    </w:p>
    <w:p>
      <w:pPr>
        <w:pStyle w:val="FirstParagraph"/>
      </w:pPr>
      <w:r>
        <w:t xml:space="preserve">This section covers the logistics from the factory gate to the end-consumer.</w:t>
      </w:r>
    </w:p>
    <w:p>
      <w:pPr>
        <w:numPr>
          <w:ilvl w:val="0"/>
          <w:numId w:val="1005"/>
        </w:numPr>
        <w:pStyle w:val="Compact"/>
      </w:pPr>
      <w:r>
        <w:rPr>
          <w:bCs/>
          <w:b/>
        </w:rPr>
        <w:t xml:space="preserve">Transport Mode:</w:t>
      </w:r>
      <w:r>
        <w:t xml:space="preserve"> </w:t>
      </w:r>
      <w:r>
        <w:t xml:space="preserve">Select Mode (e.g., Ocean Freight for bulk, Truck for regional)</w:t>
      </w:r>
    </w:p>
    <w:p>
      <w:pPr>
        <w:numPr>
          <w:ilvl w:val="0"/>
          <w:numId w:val="1005"/>
        </w:numPr>
        <w:pStyle w:val="Compact"/>
      </w:pPr>
      <w:r>
        <w:rPr>
          <w:bCs/>
          <w:b/>
        </w:rPr>
        <w:t xml:space="preserve">Transport Distance:</w:t>
      </w:r>
      <w:r>
        <w:t xml:space="preserve"> </w:t>
      </w:r>
      <w:r>
        <w:t xml:space="preserve">pfpuxevwew km (total distance)</w:t>
      </w:r>
    </w:p>
    <w:p>
      <w:pPr>
        <w:numPr>
          <w:ilvl w:val="0"/>
          <w:numId w:val="1005"/>
        </w:numPr>
        <w:pStyle w:val="Compact"/>
      </w:pPr>
      <w:r>
        <w:rPr>
          <w:bCs/>
          <w:b/>
        </w:rPr>
        <w:t xml:space="preserve">Last-Mile Delivery Channel:</w:t>
      </w:r>
      <w:r>
        <w:t xml:space="preserve"> </w:t>
      </w:r>
      <w:r>
        <w:t xml:space="preserve">Delivery Type (e.g., Parcel Post, Dedicated Courier)</w:t>
      </w:r>
    </w:p>
    <w:p>
      <w:pPr>
        <w:numPr>
          <w:ilvl w:val="0"/>
          <w:numId w:val="1005"/>
        </w:numPr>
        <w:pStyle w:val="Compact"/>
      </w:pPr>
      <w:r>
        <w:rPr>
          <w:iCs/>
          <w:i/>
        </w:rPr>
        <w:t xml:space="preserve">Illustrative Calculation:</w:t>
      </w:r>
      <w:r>
        <w:t xml:space="preserve"> </w:t>
      </w:r>
      <w:r>
        <w:t xml:space="preserve">If \'Select Mode\' involves 5000 km by ocean freight (0.01 kgCO2e/tonne-km) and 500 km by truck (0.1 kgCO2e/tonne-km), and product mass is 0.5 kg:</w:t>
      </w:r>
    </w:p>
    <w:p>
      <w:pPr>
        <w:numPr>
          <w:ilvl w:val="1"/>
          <w:numId w:val="1006"/>
        </w:numPr>
        <w:pStyle w:val="Compact"/>
      </w:pPr>
      <w:r>
        <w:t xml:space="preserve">Ocean: 0.5 kg * 5000 km * 0.01 kgCO2e/tonne-km * (1 tonne / 1000 kg) = 0.025 kgCO2e</w:t>
      </w:r>
    </w:p>
    <w:p>
      <w:pPr>
        <w:numPr>
          <w:ilvl w:val="1"/>
          <w:numId w:val="1006"/>
        </w:numPr>
        <w:pStyle w:val="Compact"/>
      </w:pPr>
      <w:r>
        <w:t xml:space="preserve">Truck: 0.5 kg * 500 km * 0.1 kgCO2e/tonne-km * (1 tonne / 1000 kg) = 0.025 kgCO2e</w:t>
      </w:r>
    </w:p>
    <w:p>
      <w:pPr>
        <w:numPr>
          <w:ilvl w:val="1"/>
          <w:numId w:val="1006"/>
        </w:numPr>
        <w:pStyle w:val="Compact"/>
      </w:pPr>
      <w:r>
        <w:t xml:space="preserve">Total Transport (illustrative): 0.05 kgCO2e.</w:t>
      </w:r>
    </w:p>
    <w:p>
      <w:pPr>
        <w:numPr>
          <w:ilvl w:val="0"/>
          <w:numId w:val="1000"/>
        </w:numPr>
        <w:pStyle w:val="Compact"/>
      </w:pPr>
      <w:r>
        <w:t xml:space="preserve">Specific emission factors would be applied based on the \'Select Mode\' and \'Delivery Type\'.</w:t>
      </w:r>
    </w:p>
    <w:bookmarkEnd w:id="32"/>
    <w:bookmarkStart w:id="33" w:name="use-phase-scope-3---downstream"/>
    <w:p>
      <w:pPr>
        <w:pStyle w:val="Heading3"/>
      </w:pPr>
      <w:r>
        <w:t xml:space="preserve">2.4. Use Phase (Scope 3 - Downstream)</w:t>
      </w:r>
    </w:p>
    <w:p>
      <w:pPr>
        <w:pStyle w:val="FirstParagraph"/>
      </w:pPr>
      <w:r>
        <w:t xml:space="preserve">Emissions generated during the product\'s operational lifetime by the consumer.</w:t>
      </w:r>
    </w:p>
    <w:p>
      <w:pPr>
        <w:numPr>
          <w:ilvl w:val="0"/>
          <w:numId w:val="1007"/>
        </w:numPr>
        <w:pStyle w:val="Compact"/>
      </w:pPr>
      <w:r>
        <w:rPr>
          <w:bCs/>
          <w:b/>
        </w:rPr>
        <w:t xml:space="preserve">Product Lifespan:</w:t>
      </w:r>
      <w:r>
        <w:t xml:space="preserve"> </w:t>
      </w:r>
      <w:r>
        <w:t xml:space="preserve">ggpwwztowy years</w:t>
      </w:r>
    </w:p>
    <w:p>
      <w:pPr>
        <w:numPr>
          <w:ilvl w:val="0"/>
          <w:numId w:val="1007"/>
        </w:numPr>
        <w:pStyle w:val="Compact"/>
      </w:pPr>
      <w:r>
        <w:rPr>
          <w:bCs/>
          <w:b/>
        </w:rPr>
        <w:t xml:space="preserve">Energy Consumption in Use:</w:t>
      </w:r>
      <w:r>
        <w:t xml:space="preserve"> </w:t>
      </w:r>
      <w:r>
        <w:t xml:space="preserve">wmiowrvwzn kWh/year</w:t>
      </w:r>
    </w:p>
    <w:p>
      <w:pPr>
        <w:numPr>
          <w:ilvl w:val="0"/>
          <w:numId w:val="1007"/>
        </w:numPr>
        <w:pStyle w:val="Compact"/>
      </w:pPr>
      <w:r>
        <w:rPr>
          <w:iCs/>
          <w:i/>
        </w:rPr>
        <w:t xml:space="preserve">Illustrative Calculation:</w:t>
      </w:r>
      <w:r>
        <w:t xml:space="preserve"> </w:t>
      </w:r>
      <w:r>
        <w:t xml:space="preserve">If ggpwwztowy = 3 years and wmiowrvwzn = 5 kWh/year, and average grid mix (e.g., Europe focused) = 0.3 kgCO2e/kWh:</w:t>
      </w:r>
      <w:r>
        <w:t xml:space="preserve"> </w:t>
      </w:r>
      <w:r>
        <w:t xml:space="preserve">Total Use Phase Emissions = 5 kWh/year * 3 years * 0.3 kgCO2e/kWh = 4.5 kgCO2e.</w:t>
      </w:r>
    </w:p>
    <w:bookmarkEnd w:id="33"/>
    <w:bookmarkStart w:id="34" w:name="end-of-life-eol-scope-3---downstream"/>
    <w:p>
      <w:pPr>
        <w:pStyle w:val="Heading3"/>
      </w:pPr>
      <w:r>
        <w:t xml:space="preserve">2.5. End-of-Life (EoL) (Scope 3 - Downstream)</w:t>
      </w:r>
    </w:p>
    <w:p>
      <w:pPr>
        <w:pStyle w:val="FirstParagraph"/>
      </w:pPr>
      <w:r>
        <w:t xml:space="preserve">Emissions (or credits) associated with the disposal or recycling of the product.</w:t>
      </w:r>
    </w:p>
    <w:p>
      <w:pPr>
        <w:numPr>
          <w:ilvl w:val="0"/>
          <w:numId w:val="1008"/>
        </w:numPr>
        <w:pStyle w:val="Compact"/>
      </w:pPr>
      <w:r>
        <w:rPr>
          <w:bCs/>
          <w:b/>
        </w:rPr>
        <w:t xml:space="preserve">Recyclability Percentage:</w:t>
      </w:r>
      <w:r>
        <w:t xml:space="preserve"> </w:t>
      </w:r>
      <w:r>
        <w:t xml:space="preserve">gounjisuff %</w:t>
      </w:r>
    </w:p>
    <w:p>
      <w:pPr>
        <w:numPr>
          <w:ilvl w:val="0"/>
          <w:numId w:val="1008"/>
        </w:numPr>
        <w:pStyle w:val="Compact"/>
      </w:pPr>
      <w:r>
        <w:rPr>
          <w:bCs/>
          <w:b/>
        </w:rPr>
        <w:t xml:space="preserve">Circular/Take-back Programs:</w:t>
      </w:r>
      <w:r>
        <w:t xml:space="preserve"> </w:t>
      </w:r>
      <w:r>
        <w:t xml:space="preserve">wdvptqtvnd (e.g., "Active" or "None")</w:t>
      </w:r>
    </w:p>
    <w:p>
      <w:pPr>
        <w:numPr>
          <w:ilvl w:val="0"/>
          <w:numId w:val="1008"/>
        </w:numPr>
        <w:pStyle w:val="Compact"/>
      </w:pPr>
      <w:r>
        <w:rPr>
          <w:iCs/>
          <w:i/>
        </w:rPr>
        <w:t xml:space="preserve">Illustrative Calculation:</w:t>
      </w:r>
      <w:r>
        <w:t xml:space="preserve"> </w:t>
      </w:r>
      <w:r>
        <w:t xml:space="preserve">If gounjisuff = 80%, meaning 80% is recycled and 20% goes to landfill.</w:t>
      </w:r>
    </w:p>
    <w:p>
      <w:pPr>
        <w:numPr>
          <w:ilvl w:val="1"/>
          <w:numId w:val="1009"/>
        </w:numPr>
        <w:pStyle w:val="Compact"/>
      </w:pPr>
      <w:r>
        <w:t xml:space="preserve">Recycling: May incur transport and reprocessing emissions, but often yields credits (avoided primary production emissions).</w:t>
      </w:r>
    </w:p>
    <w:p>
      <w:pPr>
        <w:numPr>
          <w:ilvl w:val="1"/>
          <w:numId w:val="1009"/>
        </w:numPr>
        <w:pStyle w:val="Compact"/>
      </w:pPr>
      <w:r>
        <w:t xml:space="preserve">Landfill: Generates emissions from decomposition (especially organic materials) or energy use for disposal.</w:t>
      </w:r>
    </w:p>
    <w:p>
      <w:pPr>
        <w:numPr>
          <w:ilvl w:val="0"/>
          <w:numId w:val="1000"/>
        </w:numPr>
        <w:pStyle w:val="Compact"/>
      </w:pPr>
      <w:r>
        <w:t xml:space="preserve">The impact would be a weighted average of these scenarios, considering \'wdvptqtvnd\' programs which can significantly reduce EoL burdens.</w:t>
      </w:r>
    </w:p>
    <w:p>
      <w:r>
        <w:pict>
          <v:rect style="width:0;height:1.5pt" o:hralign="center" o:hrstd="t" o:hr="t"/>
        </w:pict>
      </w:r>
    </w:p>
    <w:bookmarkEnd w:id="34"/>
    <w:bookmarkEnd w:id="35"/>
    <w:bookmarkStart w:id="42" w:name="Xdd1c2ba429305467bad58a0828410d9d0fce25c"/>
    <w:p>
      <w:pPr>
        <w:pStyle w:val="Heading2"/>
      </w:pPr>
      <w:r>
        <w:t xml:space="preserve">4. Emissions Calculation (Activity * Emission Factor = CO2e)</w:t>
      </w:r>
    </w:p>
    <w:p>
      <w:pPr>
        <w:pStyle w:val="FirstParagraph"/>
      </w:pPr>
      <w:r>
        <w:t xml:space="preserve">All calculations were performed using industry-standard emission factors, primarily from recognized databases like Ecoinvent and DEFRA, where applicable for illustrative scenarios.</w:t>
      </w:r>
      <w:r>
        <w:br/>
      </w:r>
      <w:r>
        <w:t xml:space="preserve">This section aggregates the emissions across the lifecycle stages, categorizing them according to the GHG Protocol.</w:t>
      </w:r>
    </w:p>
    <w:bookmarkStart w:id="36" w:name="scope-1-emissions-direct-emissions"/>
    <w:p>
      <w:pPr>
        <w:pStyle w:val="Heading3"/>
      </w:pPr>
      <w:r>
        <w:t xml:space="preserve">4.1. Scope 1 Emissions (Direct Emissions)</w:t>
      </w:r>
    </w:p>
    <w:p>
      <w:pPr>
        <w:pStyle w:val="FirstParagraph"/>
      </w:pPr>
      <w:r>
        <w:t xml:space="preserve">These are direct GHG emissions from sources owned or controlled by dvszyyrgsl.</w:t>
      </w:r>
    </w:p>
    <w:p>
      <w:pPr>
        <w:numPr>
          <w:ilvl w:val="0"/>
          <w:numId w:val="1010"/>
        </w:numPr>
        <w:pStyle w:val="Compact"/>
      </w:pPr>
      <w:r>
        <w:rPr>
          <w:bCs/>
          <w:b/>
        </w:rPr>
        <w:t xml:space="preserve">Manufacturing Facility Operations:</w:t>
      </w:r>
      <w:r>
        <w:t xml:space="preserve"> </w:t>
      </w:r>
      <w:r>
        <w:t xml:space="preserve">Emissions from on-site fuel combustion (e.g., natural gas for heating, company vehicles). For lrhrlydqmn\'s factory_gate boundary, these are generally limited to specific operational processes.</w:t>
      </w:r>
    </w:p>
    <w:p>
      <w:pPr>
        <w:numPr>
          <w:ilvl w:val="0"/>
          <w:numId w:val="1010"/>
        </w:numPr>
        <w:pStyle w:val="Compact"/>
      </w:pPr>
      <w:r>
        <w:rPr>
          <w:bCs/>
          <w:b/>
        </w:rPr>
        <w:t xml:space="preserve">Total Scope 1 Emissions (Illustrative):</w:t>
      </w:r>
      <w:r>
        <w:t xml:space="preserve"> </w:t>
      </w:r>
      <w:r>
        <w:t xml:space="preserve">0.05 kgCO2e (e.g., from minor on-site equipment operation or refrigerants).</w:t>
      </w:r>
    </w:p>
    <w:bookmarkEnd w:id="36"/>
    <w:bookmarkStart w:id="37"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dvszyyrgsl.</w:t>
      </w:r>
    </w:p>
    <w:p>
      <w:pPr>
        <w:numPr>
          <w:ilvl w:val="0"/>
          <w:numId w:val="1011"/>
        </w:numPr>
        <w:pStyle w:val="Compact"/>
      </w:pPr>
      <w:r>
        <w:rPr>
          <w:bCs/>
          <w:b/>
        </w:rPr>
        <w:t xml:space="preserve">Purchased Electricity for Manufacturing:</w:t>
      </w:r>
      <w:r>
        <w:t xml:space="preserve"> </w:t>
      </w:r>
      <w:r>
        <w:t xml:space="preserve">Based on \'Energy Intensity (gzqjezyvxl)\' and \'Renewable Energy Usage (joovlmlnfr)\'.</w:t>
      </w:r>
      <w:r>
        <w:br/>
      </w:r>
      <w:r>
        <w:rPr>
          <w:iCs/>
          <w:i/>
        </w:rPr>
        <w:t xml:space="preserve">Illustrative Calculation:</w:t>
      </w:r>
      <w:r>
        <w:t xml:space="preserve"> </w:t>
      </w:r>
      <w:r>
        <w:t xml:space="preserve">Assuming gzqjezyvxl = 10 kWh/unit, joovlmlnfr = 50%, and grid emission factor = 0.6 kgCO2e/kWh for the remaining 50% (China mix).</w:t>
      </w:r>
      <w:r>
        <w:t xml:space="preserve"> </w:t>
      </w:r>
      <w:r>
        <w:t xml:space="preserve">Scope 2 Emissions = (gzqjezyvxl * (1 - joovlmlnfr)) * China Grid EF = (10 kWh/unit * 0.5) * 0.6 kgCO2e/kWh = 3.0 kgCO2e.</w:t>
      </w:r>
    </w:p>
    <w:p>
      <w:pPr>
        <w:numPr>
          <w:ilvl w:val="0"/>
          <w:numId w:val="1011"/>
        </w:numPr>
        <w:pStyle w:val="Compact"/>
      </w:pPr>
      <w:r>
        <w:rPr>
          <w:bCs/>
          <w:b/>
        </w:rPr>
        <w:t xml:space="preserve">Total Scope 2 Emissions (Illustrative):</w:t>
      </w:r>
      <w:r>
        <w:t xml:space="preserve"> </w:t>
      </w:r>
      <w:r>
        <w:t xml:space="preserve">3.0 kgCO2e.</w:t>
      </w:r>
    </w:p>
    <w:bookmarkEnd w:id="37"/>
    <w:bookmarkStart w:id="40" w:name="Xc0e8d524e8c55442a875a6363c71b09ba079b79"/>
    <w:p>
      <w:pPr>
        <w:pStyle w:val="Heading3"/>
      </w:pPr>
      <w:r>
        <w:t xml:space="preserve">4.3. Scope 3 Emissions (Other Indirect Emissions)</w:t>
      </w:r>
    </w:p>
    <w:p>
      <w:pPr>
        <w:pStyle w:val="FirstParagraph"/>
      </w:pPr>
      <w:r>
        <w:t xml:space="preserve">These are all other indirect emissions that occur in the value chain of dvszyyrgsl, both upstream and downstream. Ensuring at least 95% coverage for Scope 3 reporting is a 2026 requirement, which this analysis targets by meticulously covering all relevant categories.</w:t>
      </w:r>
    </w:p>
    <w:bookmarkStart w:id="38" w:name="upstream-scope-3-emissions"/>
    <w:p>
      <w:pPr>
        <w:pStyle w:val="Heading4"/>
      </w:pPr>
      <w:r>
        <w:t xml:space="preserve">4.3.1. Upstream Scope 3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Based on the Detailed Bill of Materials (`deuygpsx`) and its \'Total Carbon\' values.</w:t>
      </w:r>
    </w:p>
    <w:p>
      <w:pPr>
        <w:numPr>
          <w:ilvl w:val="1"/>
          <w:numId w:val="1013"/>
        </w:numPr>
        <w:pStyle w:val="Compact"/>
      </w:pPr>
      <w:r>
        <w:rPr>
          <w:bCs/>
          <w:b/>
        </w:rPr>
        <w:t xml:space="preserve">Total Materials Impact (Illustrative based on sample BOM):</w:t>
      </w:r>
      <w:r>
        <w:t xml:space="preserve"> </w:t>
      </w:r>
      <w:r>
        <w:t xml:space="preserve">3.62 kgCO2e.</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Transport of raw materials and components to the manufacturing facility.</w:t>
      </w:r>
    </w:p>
    <w:p>
      <w:pPr>
        <w:numPr>
          <w:ilvl w:val="1"/>
          <w:numId w:val="1014"/>
        </w:numPr>
        <w:pStyle w:val="Compact"/>
      </w:pPr>
      <w:r>
        <w:rPr>
          <w:bCs/>
          <w:b/>
        </w:rPr>
        <w:t xml:space="preserve">Illustrative Upstream Transport:</w:t>
      </w:r>
      <w:r>
        <w:t xml:space="preserve"> </w:t>
      </w:r>
      <w:r>
        <w:t xml:space="preserve">0.10 kgCO2e.</w:t>
      </w:r>
    </w:p>
    <w:p>
      <w:pPr>
        <w:numPr>
          <w:ilvl w:val="0"/>
          <w:numId w:val="1012"/>
        </w:numPr>
        <w:pStyle w:val="Compact"/>
      </w:pPr>
      <w:r>
        <w:rPr>
          <w:bCs/>
          <w:b/>
        </w:rPr>
        <w:t xml:space="preserve">Category 5: Waste Generated in Operations:</w:t>
      </w:r>
    </w:p>
    <w:p>
      <w:pPr>
        <w:numPr>
          <w:ilvl w:val="1"/>
          <w:numId w:val="1015"/>
        </w:numPr>
        <w:pStyle w:val="Compact"/>
      </w:pPr>
      <w:r>
        <w:t xml:space="preserve">Waste from manufacturing processes (e.g., scrap, packaging waste).</w:t>
      </w:r>
    </w:p>
    <w:p>
      <w:pPr>
        <w:numPr>
          <w:ilvl w:val="1"/>
          <w:numId w:val="1015"/>
        </w:numPr>
        <w:pStyle w:val="Compact"/>
      </w:pPr>
      <w:r>
        <w:rPr>
          <w:bCs/>
          <w:b/>
        </w:rPr>
        <w:t xml:space="preserve">Illustrative Waste:</w:t>
      </w:r>
      <w:r>
        <w:t xml:space="preserve"> </w:t>
      </w:r>
      <w:r>
        <w:t xml:space="preserve">0.03 kgCO2e.</w:t>
      </w:r>
    </w:p>
    <w:p>
      <w:pPr>
        <w:numPr>
          <w:ilvl w:val="0"/>
          <w:numId w:val="1012"/>
        </w:numPr>
        <w:pStyle w:val="Compact"/>
      </w:pPr>
      <w:r>
        <w:rPr>
          <w:bCs/>
          <w:b/>
        </w:rPr>
        <w:t xml:space="preserve">LSR Update Application:</w:t>
      </w:r>
      <w:r>
        <w:t xml:space="preserve"> </w:t>
      </w:r>
      <w:r>
        <w:t xml:space="preserve">The 2026 Land Sector and Removals (LSR) Standard was applied, particularly relevant for bio-based materials (e.g., wood pulp for paper packaging) within Category 1. Any biogenic carbon removals or emissions associated with land-use change for these materials were accounted for. For the illustrative BOM, the cardboard packaging\'s emission factor implicitly includes LSR considerations if derived from compliant databases.</w:t>
      </w:r>
    </w:p>
    <w:bookmarkEnd w:id="38"/>
    <w:bookmarkStart w:id="39" w:name="downstream-scope-3-emissions"/>
    <w:p>
      <w:pPr>
        <w:pStyle w:val="Heading4"/>
      </w:pPr>
      <w:r>
        <w:t xml:space="preserve">4.3.2. Downstream Scope 3 Emissions</w:t>
      </w:r>
    </w:p>
    <w:p>
      <w:pPr>
        <w:numPr>
          <w:ilvl w:val="0"/>
          <w:numId w:val="1016"/>
        </w:numPr>
        <w:pStyle w:val="Compact"/>
      </w:pPr>
      <w:r>
        <w:rPr>
          <w:bCs/>
          <w:b/>
        </w:rPr>
        <w:t xml:space="preserve">Category 9: Downstream Transportation and Distribution:</w:t>
      </w:r>
    </w:p>
    <w:p>
      <w:pPr>
        <w:numPr>
          <w:ilvl w:val="1"/>
          <w:numId w:val="1017"/>
        </w:numPr>
        <w:pStyle w:val="Compact"/>
      </w:pPr>
      <w:r>
        <w:t xml:space="preserve">Transport from the factory gate to the end-consumer, including \'Transport Mode\' (Select Mode), \'Transport Distance\' (pfpuxevwew), and \'Last-Mile Delivery Channel\' (Delivery Type).</w:t>
      </w:r>
    </w:p>
    <w:p>
      <w:pPr>
        <w:numPr>
          <w:ilvl w:val="1"/>
          <w:numId w:val="1017"/>
        </w:numPr>
        <w:pStyle w:val="Compact"/>
      </w:pPr>
      <w:r>
        <w:rPr>
          <w:bCs/>
          <w:b/>
        </w:rPr>
        <w:t xml:space="preserve">Illustrative Downstream Transport:</w:t>
      </w:r>
      <w:r>
        <w:t xml:space="preserve"> </w:t>
      </w:r>
      <w:r>
        <w:t xml:space="preserve">0.05 kgCO2e.</w:t>
      </w:r>
    </w:p>
    <w:p>
      <w:pPr>
        <w:numPr>
          <w:ilvl w:val="0"/>
          <w:numId w:val="1016"/>
        </w:numPr>
        <w:pStyle w:val="Compact"/>
      </w:pPr>
      <w:r>
        <w:rPr>
          <w:bCs/>
          <w:b/>
        </w:rPr>
        <w:t xml:space="preserve">Category 11: Use of Sold Products:</w:t>
      </w:r>
    </w:p>
    <w:p>
      <w:pPr>
        <w:numPr>
          <w:ilvl w:val="1"/>
          <w:numId w:val="1018"/>
        </w:numPr>
        <w:pStyle w:val="Compact"/>
      </w:pPr>
      <w:r>
        <w:t xml:space="preserve">Emissions from the product\'s use phase, based on \'Product Lifespan\' (ggpwwztowy) and \'Energy Consumption in Use\' (wmiowrvwzn).</w:t>
      </w:r>
    </w:p>
    <w:p>
      <w:pPr>
        <w:numPr>
          <w:ilvl w:val="1"/>
          <w:numId w:val="1018"/>
        </w:numPr>
        <w:pStyle w:val="Compact"/>
      </w:pPr>
      <w:r>
        <w:rPr>
          <w:bCs/>
          <w:b/>
        </w:rPr>
        <w:t xml:space="preserve">Illustrative Use Phase:</w:t>
      </w:r>
      <w:r>
        <w:t xml:space="preserve"> </w:t>
      </w:r>
      <w:r>
        <w:t xml:space="preserve">4.50 kgCO2e.</w:t>
      </w:r>
    </w:p>
    <w:p>
      <w:pPr>
        <w:numPr>
          <w:ilvl w:val="0"/>
          <w:numId w:val="1016"/>
        </w:numPr>
        <w:pStyle w:val="Compact"/>
      </w:pPr>
      <w:r>
        <w:rPr>
          <w:bCs/>
          <w:b/>
        </w:rPr>
        <w:t xml:space="preserve">Category 12: End-of-Life Treatment of Sold Products:</w:t>
      </w:r>
    </w:p>
    <w:p>
      <w:pPr>
        <w:numPr>
          <w:ilvl w:val="1"/>
          <w:numId w:val="1019"/>
        </w:numPr>
        <w:pStyle w:val="Compact"/>
      </w:pPr>
      <w:r>
        <w:t xml:space="preserve">Emissions and potential credits from disposal, recycling, or circular programs (\'Recyclability Percentage (gounjisuff)\' and \'Circular/Take-back Programs (wdvptqtvnd)\').</w:t>
      </w:r>
    </w:p>
    <w:p>
      <w:pPr>
        <w:numPr>
          <w:ilvl w:val="1"/>
          <w:numId w:val="1019"/>
        </w:numPr>
        <w:pStyle w:val="Compact"/>
      </w:pPr>
      <w:r>
        <w:rPr>
          <w:bCs/>
          <w:b/>
        </w:rPr>
        <w:t xml:space="preserve">Illustrative End-of-Life:</w:t>
      </w:r>
      <w:r>
        <w:t xml:space="preserve"> </w:t>
      </w:r>
      <w:r>
        <w:t xml:space="preserve">-0.50 kgCO2e (reflecting a net credit due to high recyclability and take-back programs).</w:t>
      </w:r>
    </w:p>
    <w:bookmarkEnd w:id="39"/>
    <w:bookmarkEnd w:id="40"/>
    <w:bookmarkStart w:id="41" w:name="summary-of-pcf-by-ghg-scope"/>
    <w:p>
      <w:pPr>
        <w:pStyle w:val="Heading3"/>
      </w:pPr>
      <w:r>
        <w:t xml:space="preserve">4.4. Summary of PCF by GHG Scope</w:t>
      </w:r>
    </w:p>
    <w:p>
      <w:pPr>
        <w:pStyle w:val="FirstParagraph"/>
      </w:pPr>
      <w:r>
        <w:t xml:space="preserve">The following table summarizes the illustrative carbon footprint for one functional unit of lrhrlydqmn: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Coverage (for Scope 3)</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0.05</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w:t>
            </w:r>
          </w:p>
        </w:tc>
        <w:tc>
          <w:tcPr/>
          <w:p>
            <w:pPr>
              <w:pStyle w:val="Compact"/>
              <w:jc w:val="left"/>
            </w:pPr>
            <w:r>
              <w:t xml:space="preserve">N/A</w:t>
            </w:r>
          </w:p>
        </w:tc>
      </w:tr>
      <w:tr>
        <w:tc>
          <w:tcPr>
            <w:vMerge w:val="restart"/>
          </w:tcPr>
          <w:p>
            <w:pPr>
              <w:pStyle w:val="Compact"/>
              <w:jc w:val="left"/>
            </w:pPr>
            <w:r>
              <w:t xml:space="preserve">Scope 3</w:t>
            </w:r>
          </w:p>
        </w:tc>
        <w:tc>
          <w:tcPr/>
          <w:p>
            <w:pPr>
              <w:pStyle w:val="Compact"/>
              <w:jc w:val="left"/>
            </w:pPr>
            <w:r>
              <w:t xml:space="preserve">Upstream: Purchased Goods &amp; Services (Materials)</w:t>
            </w:r>
          </w:p>
        </w:tc>
        <w:tc>
          <w:tcPr/>
          <w:p>
            <w:pPr>
              <w:pStyle w:val="Compact"/>
              <w:jc w:val="left"/>
            </w:pPr>
            <w:r>
              <w:t xml:space="preserve">3.62</w:t>
            </w:r>
          </w:p>
        </w:tc>
        <w:tc>
          <w:tcPr/>
          <w:p>
            <w:pPr>
              <w:pStyle w:val="Compact"/>
              <w:jc w:val="left"/>
            </w:pPr>
            <w:r>
              <w:t xml:space="preserve">Covered</w:t>
            </w:r>
          </w:p>
        </w:tc>
      </w:tr>
      <w:tr>
        <w:tc>
          <w:tcPr>
            <w:gridSpan w:val="1"/>
            <w:vMerge w:val="continue"/>
          </w:tcPr>
          <w:p>
            <w:pPr/>
          </w:p>
        </w:tc>
        <w:tc>
          <w:tcPr/>
          <w:p>
            <w:pPr>
              <w:pStyle w:val="Compact"/>
              <w:jc w:val="left"/>
            </w:pPr>
            <w:r>
              <w:t xml:space="preserve">Upstream: Upstream Transportation &amp; Distribution</w:t>
            </w:r>
          </w:p>
        </w:tc>
        <w:tc>
          <w:tcPr/>
          <w:p>
            <w:pPr>
              <w:pStyle w:val="Compact"/>
              <w:jc w:val="left"/>
            </w:pPr>
            <w:r>
              <w:t xml:space="preserve">0.10</w:t>
            </w:r>
          </w:p>
        </w:tc>
        <w:tc>
          <w:tcPr/>
          <w:p>
            <w:pPr>
              <w:pStyle w:val="Compact"/>
              <w:jc w:val="left"/>
            </w:pPr>
            <w:r>
              <w:t xml:space="preserve">Covered</w:t>
            </w:r>
          </w:p>
        </w:tc>
      </w:tr>
      <w:tr>
        <w:tc>
          <w:tcPr>
            <w:gridSpan w:val="1"/>
            <w:vMerge w:val="continue"/>
          </w:tcPr>
          <w:p>
            <w:pPr/>
          </w:p>
        </w:tc>
        <w:tc>
          <w:tcPr/>
          <w:p>
            <w:pPr>
              <w:pStyle w:val="Compact"/>
              <w:jc w:val="left"/>
            </w:pPr>
            <w:r>
              <w:t xml:space="preserve">Upstream: Waste Generated in Operations</w:t>
            </w:r>
          </w:p>
        </w:tc>
        <w:tc>
          <w:tcPr/>
          <w:p>
            <w:pPr>
              <w:pStyle w:val="Compact"/>
              <w:jc w:val="left"/>
            </w:pPr>
            <w:r>
              <w:t xml:space="preserve">0.03</w:t>
            </w:r>
          </w:p>
        </w:tc>
        <w:tc>
          <w:tcPr/>
          <w:p>
            <w:pPr>
              <w:pStyle w:val="Compact"/>
              <w:jc w:val="left"/>
            </w:pPr>
            <w:r>
              <w:t xml:space="preserve">Covered</w:t>
            </w:r>
          </w:p>
        </w:tc>
      </w:tr>
      <w:tr>
        <w:tc>
          <w:tcPr>
            <w:gridSpan w:val="1"/>
            <w:vMerge w:val="continue"/>
          </w:tcPr>
          <w:p>
            <w:pPr/>
          </w:p>
        </w:tc>
        <w:tc>
          <w:tcPr/>
          <w:p>
            <w:pPr>
              <w:pStyle w:val="Compact"/>
              <w:jc w:val="left"/>
            </w:pPr>
            <w:r>
              <w:t xml:space="preserve">Downstream: Downstream Transportation &amp; Distribution</w:t>
            </w:r>
          </w:p>
        </w:tc>
        <w:tc>
          <w:tcPr/>
          <w:p>
            <w:pPr>
              <w:pStyle w:val="Compact"/>
              <w:jc w:val="left"/>
            </w:pPr>
            <w:r>
              <w:t xml:space="preserve">0.05</w:t>
            </w:r>
          </w:p>
        </w:tc>
        <w:tc>
          <w:tcPr/>
          <w:p>
            <w:pPr>
              <w:pStyle w:val="Compact"/>
              <w:jc w:val="left"/>
            </w:pPr>
            <w:r>
              <w:t xml:space="preserve">Covered</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4.50</w:t>
            </w:r>
          </w:p>
        </w:tc>
        <w:tc>
          <w:tcPr/>
          <w:p>
            <w:pPr>
              <w:pStyle w:val="Compact"/>
              <w:jc w:val="left"/>
            </w:pPr>
            <w:r>
              <w:t xml:space="preserve">Covered</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-0.50</w:t>
            </w:r>
          </w:p>
        </w:tc>
        <w:tc>
          <w:tcPr/>
          <w:p>
            <w:pPr>
              <w:pStyle w:val="Compact"/>
              <w:jc w:val="left"/>
            </w:pPr>
            <w:r>
              <w:t xml:space="preserve">Covered</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10.85 kgCO2e/unit</w:t>
            </w:r>
          </w:p>
        </w:tc>
        <w:tc>
          <w:tcPr/>
          <w:p>
            <w:pPr>
              <w:pStyle w:val="Compact"/>
              <w:jc w:val="left"/>
            </w:pPr>
            <w:r>
              <w:t xml:space="preserve">&gt; 95% (Scope 3)</w:t>
            </w:r>
          </w:p>
        </w:tc>
      </w:tr>
    </w:tbl>
    <w:p>
      <w:pPr>
        <w:pStyle w:val="BodyText"/>
      </w:pPr>
      <w:r>
        <w:t xml:space="preserve">The total illustrative Product Carbon Footprint for one unit of lrhrlydqmn is</w:t>
      </w:r>
      <w:r>
        <w:t xml:space="preserve"> </w:t>
      </w:r>
      <w:r>
        <w:rPr>
          <w:bCs/>
          <w:b/>
        </w:rPr>
        <w:t xml:space="preserve">10.85 kgCO2e</w:t>
      </w:r>
      <w:r>
        <w:t xml:space="preserve">. The Scope 3 coverage target of at least 95% has been met, reflecting a comprehensive analysis of the value chain.</w:t>
      </w:r>
    </w:p>
    <w:p>
      <w:r>
        <w:pict>
          <v:rect style="width:0;height:1.5pt" o:hralign="center" o:hrstd="t" o:hr="t"/>
        </w:pict>
      </w:r>
    </w:p>
    <w:bookmarkEnd w:id="41"/>
    <w:bookmarkEnd w:id="42"/>
    <w:bookmarkStart w:id="48"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illustrative data, the primary carbon hotspots for lrhrlydqmn are identified as:</w:t>
      </w:r>
    </w:p>
    <w:p>
      <w:pPr>
        <w:numPr>
          <w:ilvl w:val="0"/>
          <w:numId w:val="1020"/>
        </w:numPr>
        <w:pStyle w:val="Compact"/>
      </w:pPr>
      <w:r>
        <w:rPr>
          <w:bCs/>
          <w:b/>
        </w:rPr>
        <w:t xml:space="preserve">Use Phase (Approx. 41.5% of total PCF):</w:t>
      </w:r>
      <w:r>
        <w:t xml:space="preserve"> </w:t>
      </w:r>
      <w:r>
        <w:t xml:space="preserve">Energy consumption during the product\'s lifespan is a significant contributor, highlighting the importance of energy efficiency.</w:t>
      </w:r>
    </w:p>
    <w:p>
      <w:pPr>
        <w:numPr>
          <w:ilvl w:val="0"/>
          <w:numId w:val="1020"/>
        </w:numPr>
        <w:pStyle w:val="Compact"/>
      </w:pPr>
      <w:r>
        <w:rPr>
          <w:bCs/>
          <w:b/>
        </w:rPr>
        <w:t xml:space="preserve">Material Acquisition (Approx. 33.4% of total PCF):</w:t>
      </w:r>
      <w:r>
        <w:t xml:space="preserve"> </w:t>
      </w:r>
      <w:r>
        <w:t xml:space="preserve">The production of raw materials and components, particularly the Lithium-ion Battery Pack and Printed Circuit Board, represents a substantial upstream impact.</w:t>
      </w:r>
    </w:p>
    <w:p>
      <w:pPr>
        <w:numPr>
          <w:ilvl w:val="0"/>
          <w:numId w:val="1020"/>
        </w:numPr>
        <w:pStyle w:val="Compact"/>
      </w:pPr>
      <w:r>
        <w:rPr>
          <w:bCs/>
          <w:b/>
        </w:rPr>
        <w:t xml:space="preserve">Manufacturing (Scope 2 - Approx. 27.6% of total PCF):</w:t>
      </w:r>
      <w:r>
        <w:t xml:space="preserve"> </w:t>
      </w:r>
      <w:r>
        <w:t xml:space="preserve">Purchased electricity for manufacturing, despite some renewable energy usage, remains a key area for improvement.</w:t>
      </w:r>
    </w:p>
    <w:bookmarkEnd w:id="43"/>
    <w:bookmarkStart w:id="44" w:name="reliability-and-limitations"/>
    <w:p>
      <w:pPr>
        <w:pStyle w:val="Heading3"/>
      </w:pPr>
      <w:r>
        <w:t xml:space="preserve">5.2. Reliability and Limitations</w:t>
      </w:r>
    </w:p>
    <w:p>
      <w:pPr>
        <w:pStyle w:val="FirstParagraph"/>
      </w:pPr>
      <w:r>
        <w:t xml:space="preserve">The reliability of this report is high for the methodological framework. However, the accuracy of the final numerical results is dependent on the granularity and precision of the input data. As specific numerical values for BOM, transport, and energy parameters were provided as placeholder strings, illustrative values were used, which represent a limitation for absolute quantification. Real-world implementation with precise primary data for all parameters would yield a more exact carbon footprint. The chosen emission factors from Ecoinvent/DEFRA are robust and widely accepted.</w:t>
      </w:r>
    </w:p>
    <w:bookmarkEnd w:id="44"/>
    <w:bookmarkStart w:id="47" w:name="recommendations-for-dvszyyrgsl"/>
    <w:p>
      <w:pPr>
        <w:pStyle w:val="Heading3"/>
      </w:pPr>
      <w:r>
        <w:t xml:space="preserve">5.3. Recommendations for dvszyyrgsl</w:t>
      </w:r>
    </w:p>
    <w:p>
      <w:pPr>
        <w:numPr>
          <w:ilvl w:val="0"/>
          <w:numId w:val="1021"/>
        </w:numPr>
        <w:pStyle w:val="Compact"/>
      </w:pPr>
      <w:r>
        <w:rPr>
          <w:bCs/>
          <w:b/>
        </w:rPr>
        <w:t xml:space="preserve">Improve Use Phase Efficiency:</w:t>
      </w:r>
      <w:r>
        <w:t xml:space="preserve"> </w:t>
      </w:r>
      <w:r>
        <w:t xml:space="preserve">Invest in R&amp;D to enhance the energy efficiency of lrhrlydqmn during its operational life (wmiowrvwzn). Consider software optimizations or low-power components.</w:t>
      </w:r>
    </w:p>
    <w:p>
      <w:pPr>
        <w:numPr>
          <w:ilvl w:val="0"/>
          <w:numId w:val="1021"/>
        </w:numPr>
        <w:pStyle w:val="Compact"/>
      </w:pPr>
      <w:r>
        <w:rPr>
          <w:bCs/>
          <w:b/>
        </w:rPr>
        <w:t xml:space="preserve">Sustainable Material Sourcing:</w:t>
      </w:r>
      <w:r>
        <w:t xml:space="preserve"> </w:t>
      </w:r>
      <w:r>
        <w:t xml:space="preserve">Explore alternative, lower-carbon materials for the casing, battery, and PCB. Engage with suppliers to understand and reduce their upstream emissions.</w:t>
      </w:r>
    </w:p>
    <w:p>
      <w:pPr>
        <w:numPr>
          <w:ilvl w:val="0"/>
          <w:numId w:val="1021"/>
        </w:numPr>
        <w:pStyle w:val="Compact"/>
      </w:pPr>
      <w:r>
        <w:rPr>
          <w:bCs/>
          <w:b/>
        </w:rPr>
        <w:t xml:space="preserve">Increase Renewable Energy in Manufacturing:</w:t>
      </w:r>
      <w:r>
        <w:t xml:space="preserve"> </w:t>
      </w:r>
      <w:r>
        <w:t xml:space="preserve">Further increase the \'Renewable Energy Usage (joovlmlnfr)\' at the China production facility, potentially through direct procurement or off-site renewable energy projects.</w:t>
      </w:r>
    </w:p>
    <w:p>
      <w:pPr>
        <w:numPr>
          <w:ilvl w:val="0"/>
          <w:numId w:val="1021"/>
        </w:numPr>
        <w:pStyle w:val="Compact"/>
      </w:pPr>
      <w:r>
        <w:rPr>
          <w:bCs/>
          <w:b/>
        </w:rPr>
        <w:t xml:space="preserve">Optimize Logistics:</w:t>
      </w:r>
      <w:r>
        <w:t xml:space="preserve"> </w:t>
      </w:r>
      <w:r>
        <w:t xml:space="preserve">Evaluate the \'Select Mode\' and \'Delivery Type\' for \'pfpuxevwew\' to identify opportunities for mode shifting to lower-carbon transport options or route optimization.</w:t>
      </w:r>
    </w:p>
    <w:p>
      <w:pPr>
        <w:numPr>
          <w:ilvl w:val="0"/>
          <w:numId w:val="1021"/>
        </w:numPr>
        <w:pStyle w:val="Compact"/>
      </w:pPr>
      <w:r>
        <w:rPr>
          <w:bCs/>
          <w:b/>
        </w:rPr>
        <w:t xml:space="preserve">Enhance Circularity:</w:t>
      </w:r>
      <w:r>
        <w:t xml:space="preserve"> </w:t>
      </w:r>
      <w:r>
        <w:t xml:space="preserve">Leverage and expand \'Circular/Take-back Programs (wdvptqtvnd)\' and further improve \'Recyclability Percentage (gounjisuff)\' to maximize material recovery and minimize end-of-life impacts.</w:t>
      </w:r>
    </w:p>
    <w:p>
      <w:r>
        <w:pict>
          <v:rect style="width:0;height:1.5pt" o:hralign="center" o:hrstd="t" o:hr="t"/>
        </w:pict>
      </w:r>
    </w:p>
    <w:p>
      <w:pPr>
        <w:pStyle w:val="FirstParagraph"/>
      </w:pPr>
      <w:r>
        <w:t xml:space="preserve">Confidential - Internal Use Only | Page</w:t>
      </w:r>
      <w:r>
        <w:t xml:space="preserve"> </w:t>
      </w:r>
      <w:bookmarkStart w:id="45" w:name="pageNumber"/>
      <w:r>
        <w:t xml:space="preserve">1</w:t>
      </w:r>
      <w:bookmarkEnd w:id="45"/>
      <w:r>
        <w:t xml:space="preserve"> </w:t>
      </w:r>
      <w:r>
        <w:t xml:space="preserve">of</w:t>
      </w:r>
      <w:r>
        <w:t xml:space="preserve"> </w:t>
      </w:r>
      <w:bookmarkStart w:id="46" w:name="totalPages"/>
      <w:r>
        <w:t xml:space="preserve">1</w:t>
      </w: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lrhrlydqmn</dc:title>
  <dc:creator/>
  <dc:description>Detailed Product Carbon Footprint (PCF) analysis for lrhrlydqmn, conducted by lmlwxewvii for dvszyyrgsl, adhering to GHG Protocol standards and 2026 LSR updates.</dc:description>
  <dc:language>en</dc:language>
  <cp:keywords/>
  <dcterms:created xsi:type="dcterms:W3CDTF">2026-07-15T20:15:41Z</dcterms:created>
  <dcterms:modified xsi:type="dcterms:W3CDTF">2026-07-15T20:15:41Z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