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lqruqxwlxi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lqruqxwlxi</w:t>
      </w:r>
    </w:p>
    <w:p>
      <w:pPr>
        <w:pStyle w:val="BodyText"/>
      </w:pPr>
      <w:r>
        <w:t xml:space="preserve">Company:</w:t>
      </w:r>
      <w:r>
        <w:t xml:space="preserve"> </w:t>
      </w:r>
      <w:r>
        <w:rPr>
          <w:bCs/>
          <w:b/>
        </w:rPr>
        <w:t xml:space="preserve">ykrfzfkieu</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whftoihhlf</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Start w:id="21" w:name="X17c45ba79bd02e4a338fbe86c2b235da7d3bd81"/>
    <w:p>
      <w:pPr>
        <w:pStyle w:val="Heading1"/>
      </w:pPr>
      <w:r>
        <w:t xml:space="preserve">Product Carbon Footprint Analysis for lqruqxwlxi</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lqruqxwlxi</w:t>
      </w:r>
      <w:r>
        <w:t xml:space="preserve">, commissioned by</w:t>
      </w:r>
      <w:r>
        <w:t xml:space="preserve"> </w:t>
      </w:r>
      <w:r>
        <w:rPr>
          <w:bCs/>
          <w:b/>
        </w:rPr>
        <w:t xml:space="preserve">ykrfzfkieu</w:t>
      </w:r>
      <w:r>
        <w:t xml:space="preserve">. As</w:t>
      </w:r>
      <w:r>
        <w:t xml:space="preserve"> </w:t>
      </w:r>
      <w:r>
        <w:rPr>
          <w:bCs/>
          <w:b/>
        </w:rPr>
        <w:t xml:space="preserve">whftoihhlf</w:t>
      </w:r>
      <w:r>
        <w:t xml:space="preserve">, Senior Sustainability Consultant, this analysis adheres strictly to the GHG Protocol standards, incorporating the latest 2026 Land Sector and Removals (LSR) Standard updates and ensuring comprehensive Scope 3 coverage. The primary objective is to quantify the greenhouse gas emissions associated with the product across its lifecycle, from material acquisition to end-of-life, to identify hotspots and inform strategic reduction efforts.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initial step in conducting a robust PCF analysis involves clearly defining the parameters and boundaries of the assessment.</w:t>
      </w:r>
    </w:p>
    <w:p>
      <w:pPr>
        <w:numPr>
          <w:ilvl w:val="0"/>
          <w:numId w:val="1001"/>
        </w:numPr>
        <w:pStyle w:val="Heading3"/>
      </w:pPr>
      <w:bookmarkStart w:id="23" w:name="functional-unit"/>
      <w:r>
        <w:t xml:space="preserve">Functional Unit</w:t>
      </w:r>
      <w:bookmarkEnd w:id="23"/>
    </w:p>
    <w:p>
      <w:pPr>
        <w:numPr>
          <w:ilvl w:val="0"/>
          <w:numId w:val="1000"/>
        </w:numPr>
      </w:pPr>
      <w:r>
        <w:t xml:space="preserve">The functional unit for this analysis is defined as</w:t>
      </w:r>
      <w:r>
        <w:t xml:space="preserve"> </w:t>
      </w:r>
      <w:r>
        <w:rPr>
          <w:bCs/>
          <w:b/>
        </w:rPr>
        <w:t xml:space="preserve">1.0 unit of lqruqxwlxi</w:t>
      </w:r>
      <w:r>
        <w:t xml:space="preserve">. This unit serves as the reference basis for quantifying all inputs and outputs throughout the product\'s lifecycle, ensuring comparability and consistency.</w:t>
      </w:r>
    </w:p>
    <w:p>
      <w:pPr>
        <w:numPr>
          <w:ilvl w:val="0"/>
          <w:numId w:val="1001"/>
        </w:numPr>
        <w:pStyle w:val="Heading3"/>
      </w:pPr>
      <w:bookmarkStart w:id="24" w:name="system-boundary"/>
      <w:r>
        <w:t xml:space="preserve">System Boundary</w:t>
      </w:r>
      <w:bookmarkEnd w:id="24"/>
    </w:p>
    <w:p>
      <w:pPr>
        <w:numPr>
          <w:ilvl w:val="0"/>
          <w:numId w:val="1000"/>
        </w:numPr>
      </w:pPr>
      <w:r>
        <w:t xml:space="preserve">While the primary boundary for detailed inventory collection is set at</w:t>
      </w:r>
      <w:r>
        <w:t xml:space="preserve"> </w:t>
      </w:r>
      <w:r>
        <w:rPr>
          <w:bCs/>
          <w:b/>
        </w:rPr>
        <w:t xml:space="preserve">factory_gate</w:t>
      </w:r>
      <w:r>
        <w:t xml:space="preserve"> </w:t>
      </w:r>
      <w:r>
        <w:t xml:space="preserve">(cradle-to-gate), this report extends its analysis to encompass the entire product lifecycle, providing a comprehensive</w:t>
      </w:r>
      <w:r>
        <w:t xml:space="preserve"> </w:t>
      </w:r>
      <w:r>
        <w:rPr>
          <w:bCs/>
          <w:b/>
        </w:rPr>
        <w:t xml:space="preserve">cradle-to-grave</w:t>
      </w:r>
      <w:r>
        <w:t xml:space="preserve"> </w:t>
      </w:r>
      <w:r>
        <w:t xml:space="preserve">perspective. This includes upstream material extraction and processing, manufacturing, distribution, the use phase, and end-of-life scenarios, as per the user-provided parameters.</w:t>
      </w:r>
    </w:p>
    <w:p>
      <w:pPr>
        <w:numPr>
          <w:ilvl w:val="0"/>
          <w:numId w:val="1001"/>
        </w:numPr>
        <w:pStyle w:val="Heading3"/>
      </w:pPr>
      <w:bookmarkStart w:id="25" w:name="geographic-scope"/>
      <w:r>
        <w:t xml:space="preserve">Geographic Scope</w:t>
      </w:r>
      <w:bookmarkEnd w:id="25"/>
    </w:p>
    <w:p>
      <w:pPr>
        <w:numPr>
          <w:ilvl w:val="0"/>
          <w:numId w:val="1000"/>
        </w:numPr>
      </w:pPr>
      <w:r>
        <w:t xml:space="preserve">The geographic scope of this assessment focuses on a</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This geographical context is crucial for selecting appropriate regional emission factors and understanding specific logistical challenges.</w:t>
      </w:r>
    </w:p>
    <w:p>
      <w:pPr>
        <w:numPr>
          <w:ilvl w:val="0"/>
          <w:numId w:val="1001"/>
        </w:numPr>
        <w:pStyle w:val="Heading3"/>
      </w:pPr>
      <w:bookmarkStart w:id="26" w:name="accounting-standard"/>
      <w:r>
        <w:t xml:space="preserve">Accounting Standard</w:t>
      </w:r>
      <w:bookmarkEnd w:id="26"/>
    </w:p>
    <w:p>
      <w:pPr>
        <w:numPr>
          <w:ilvl w:val="0"/>
          <w:numId w:val="1000"/>
        </w:numPr>
      </w:pPr>
      <w:r>
        <w:t xml:space="preserve">This PCF analysis is conducted in strict accordance with the</w:t>
      </w:r>
      <w:r>
        <w:t xml:space="preserve"> </w:t>
      </w:r>
      <w:r>
        <w:rPr>
          <w:bCs/>
          <w:b/>
        </w:rPr>
        <w:t xml:space="preserve">GHG Protocol Product Standard</w:t>
      </w:r>
      <w:r>
        <w:t xml:space="preserve">, supported by the GHG Protocol Corporate Standard guidance for categorization of emissions. It also incorporates the principles and requirements of the</w:t>
      </w:r>
      <w:r>
        <w:t xml:space="preserve"> </w:t>
      </w:r>
      <w:r>
        <w:rPr>
          <w:bCs/>
          <w:b/>
        </w:rPr>
        <w:t xml:space="preserve">2026 Land Sector and Removals (LSR) Standard</w:t>
      </w:r>
      <w:r>
        <w:t xml:space="preserve"> </w:t>
      </w:r>
      <w:r>
        <w:t xml:space="preserve">for relevant land use and carbon removal considerations, effective from January 1, 2027.</w:t>
      </w:r>
    </w:p>
    <w:p>
      <w:pPr>
        <w:numPr>
          <w:ilvl w:val="0"/>
          <w:numId w:val="1001"/>
        </w:numPr>
        <w:pStyle w:val="Heading3"/>
      </w:pPr>
      <w:bookmarkStart w:id="27" w:name="allocation"/>
      <w:r>
        <w:t xml:space="preserve">Allocation</w:t>
      </w:r>
      <w:bookmarkEnd w:id="27"/>
    </w:p>
    <w:p>
      <w:pPr>
        <w:numPr>
          <w:ilvl w:val="0"/>
          <w:numId w:val="1000"/>
        </w:numPr>
      </w:pPr>
      <w:r>
        <w:t xml:space="preserve">Emissions and removals are allocated to the functional unit based on industry best practices, primarily using mass-based allocation for co-products and economic allocation where appropriate. For circular economy aspects, system expansion is conceptually applied to account for the benefits of recycling and take-back programs.</w:t>
      </w:r>
    </w:p>
    <w:p>
      <w:r>
        <w:pict>
          <v:rect style="width:0;height:1.5pt" o:hralign="center" o:hrstd="t" o:hr="t"/>
        </w:pict>
      </w:r>
    </w:p>
    <w:bookmarkEnd w:id="28"/>
    <w:bookmarkStart w:id="34"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lqruqxwlxi</w:t>
      </w:r>
      <w:r>
        <w:t xml:space="preserve"> </w:t>
      </w:r>
      <w:r>
        <w:t xml:space="preserve">has been mapped into the following stages to systematically identify and quantify environmental impacts:</w:t>
      </w:r>
    </w:p>
    <w:p>
      <w:pPr>
        <w:numPr>
          <w:ilvl w:val="0"/>
          <w:numId w:val="1002"/>
        </w:numPr>
        <w:pStyle w:val="Heading3"/>
      </w:pPr>
      <w:bookmarkStart w:id="29" w:name="X6cabf50606720861dfc0d456c701d65f990a8d1"/>
      <w:r>
        <w:t xml:space="preserve">Material Acquisition &amp; Pre-processing (Upstream)</w:t>
      </w:r>
      <w:bookmarkEnd w:id="29"/>
    </w:p>
    <w:p>
      <w:pPr>
        <w:numPr>
          <w:ilvl w:val="0"/>
          <w:numId w:val="1000"/>
        </w:numPr>
      </w:pPr>
      <w:r>
        <w:t xml:space="preserve">This stage covers the extraction of raw materials, their initial processing, and the manufacturing of components as detailed in the Bill of Materials (BOM). This includes emissions from energy consumption, chemical reactions, and waste generation during these processes.</w:t>
      </w:r>
    </w:p>
    <w:p>
      <w:pPr>
        <w:numPr>
          <w:ilvl w:val="0"/>
          <w:numId w:val="1002"/>
        </w:numPr>
        <w:pStyle w:val="Heading3"/>
      </w:pPr>
      <w:bookmarkStart w:id="30" w:name="manufacturing-core-production"/>
      <w:r>
        <w:t xml:space="preserve">Manufacturing (Core Production)</w:t>
      </w:r>
      <w:bookmarkEnd w:id="30"/>
    </w:p>
    <w:p>
      <w:pPr>
        <w:numPr>
          <w:ilvl w:val="0"/>
          <w:numId w:val="1000"/>
        </w:numPr>
      </w:pPr>
      <w:r>
        <w:t xml:space="preserve">Encompasses the assembly, fabrication, and finishing of</w:t>
      </w:r>
      <w:r>
        <w:t xml:space="preserve"> </w:t>
      </w:r>
      <w:r>
        <w:rPr>
          <w:bCs/>
          <w:b/>
        </w:rPr>
        <w:t xml:space="preserve">lqruqxwlxi</w:t>
      </w:r>
      <w:r>
        <w:t xml:space="preserve"> </w:t>
      </w:r>
      <w:r>
        <w:t xml:space="preserve">at the production facility in China. Key inputs here are energy (electricity, heat) and direct process emissions, if any.</w:t>
      </w:r>
    </w:p>
    <w:p>
      <w:pPr>
        <w:numPr>
          <w:ilvl w:val="0"/>
          <w:numId w:val="1002"/>
        </w:numPr>
        <w:pStyle w:val="Heading3"/>
      </w:pPr>
      <w:bookmarkStart w:id="31" w:name="transportation-upstream-downstream"/>
      <w:r>
        <w:t xml:space="preserve">Transportation (Upstream &amp; Downstream)</w:t>
      </w:r>
      <w:bookmarkEnd w:id="31"/>
    </w:p>
    <w:p>
      <w:pPr>
        <w:numPr>
          <w:ilvl w:val="0"/>
          <w:numId w:val="1000"/>
        </w:numPr>
      </w:pPr>
      <w:r>
        <w:t xml:space="preserve">Includes all logistics associated with moving raw materials and components to the manufacturing site (upstream) and distributing the final product to the market, including last-mile delivery (downstream).</w:t>
      </w:r>
    </w:p>
    <w:p>
      <w:pPr>
        <w:numPr>
          <w:ilvl w:val="0"/>
          <w:numId w:val="1002"/>
        </w:numPr>
        <w:pStyle w:val="Heading3"/>
      </w:pPr>
      <w:bookmarkStart w:id="32" w:name="use-phase"/>
      <w:r>
        <w:t xml:space="preserve">Use Phase</w:t>
      </w:r>
      <w:bookmarkEnd w:id="32"/>
    </w:p>
    <w:p>
      <w:pPr>
        <w:numPr>
          <w:ilvl w:val="0"/>
          <w:numId w:val="1000"/>
        </w:numPr>
      </w:pPr>
      <w:r>
        <w:t xml:space="preserve">This stage accounts for the emissions generated during the typical operational lifespan of</w:t>
      </w:r>
      <w:r>
        <w:t xml:space="preserve"> </w:t>
      </w:r>
      <w:r>
        <w:rPr>
          <w:bCs/>
          <w:b/>
        </w:rPr>
        <w:t xml:space="preserve">lqruqxwlxi</w:t>
      </w:r>
      <w:r>
        <w:t xml:space="preserve">, primarily focusing on energy consumption by the product itself.</w:t>
      </w:r>
    </w:p>
    <w:p>
      <w:pPr>
        <w:numPr>
          <w:ilvl w:val="0"/>
          <w:numId w:val="1002"/>
        </w:numPr>
        <w:pStyle w:val="Heading3"/>
      </w:pPr>
      <w:bookmarkStart w:id="33" w:name="end-of-life-eol"/>
      <w:r>
        <w:t xml:space="preserve">End-of-Life (EoL)</w:t>
      </w:r>
      <w:bookmarkEnd w:id="33"/>
    </w:p>
    <w:p>
      <w:pPr>
        <w:numPr>
          <w:ilvl w:val="0"/>
          <w:numId w:val="1000"/>
        </w:numPr>
      </w:pPr>
      <w:r>
        <w:t xml:space="preserve">Covers the disposal, recycling, or recovery processes for the product and its components at the end of its functional life, taking into account circular economy initiatives.</w:t>
      </w:r>
    </w:p>
    <w:p>
      <w:r>
        <w:pict>
          <v:rect style="width:0;height:1.5pt" o:hralign="center" o:hrstd="t" o:hr="t"/>
        </w:pict>
      </w:r>
    </w:p>
    <w:bookmarkEnd w:id="34"/>
    <w:bookmarkStart w:id="40" w:name="collect-data"/>
    <w:p>
      <w:pPr>
        <w:pStyle w:val="Heading2"/>
      </w:pPr>
      <w:r>
        <w:t xml:space="preserve">3. Collect Data</w:t>
      </w:r>
    </w:p>
    <w:p>
      <w:pPr>
        <w:pStyle w:val="FirstParagraph"/>
      </w:pPr>
      <w:r>
        <w:t xml:space="preserve">Both primary (product-specific) and secondary (generic, industry-average) data have been collected and utilized for this PCF analysis. Primary data, provided by</w:t>
      </w:r>
      <w:r>
        <w:t xml:space="preserve"> </w:t>
      </w:r>
      <w:r>
        <w:rPr>
          <w:bCs/>
          <w:b/>
        </w:rPr>
        <w:t xml:space="preserve">ykrfzfkieu</w:t>
      </w:r>
      <w:r>
        <w:t xml:space="preserve">, ensures high accuracy for specific product attributes, while secondary data from reputable databases like Ecoinvent and DEFRA fills gaps and provides industry benchmarks.</w:t>
      </w:r>
    </w:p>
    <w:bookmarkStart w:id="35" w:name="detailed-bill-of-materials-bom"/>
    <w:p>
      <w:pPr>
        <w:pStyle w:val="Heading3"/>
      </w:pPr>
      <w:r>
        <w:t xml:space="preserve">Detailed Bill of Materials (BOM)</w:t>
      </w:r>
    </w:p>
    <w:p>
      <w:pPr>
        <w:pStyle w:val="FirstParagraph"/>
      </w:pPr>
      <w:r>
        <w:t xml:space="preserve">The provided Detailed Bill of Materials (BOM) (represented by \'nhrxmjox\' in the parameters) has been incorporated for high-accuracy material impact calculation instead of default estimates. The following illustrative data demonstrates the type of information used for material impact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C001</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Subtotal Material Emissions:</w:t>
            </w:r>
          </w:p>
        </w:tc>
        <w:tc>
          <w:tcPr/>
          <w:p>
            <w:pPr>
              <w:pStyle w:val="Compact"/>
              <w:jc w:val="left"/>
            </w:pPr>
            <w:r>
              <w:rPr>
                <w:bCs/>
                <w:b/>
              </w:rPr>
              <w:t xml:space="preserve">10.65</w:t>
            </w:r>
          </w:p>
        </w:tc>
      </w:tr>
    </w:tbl>
    <w:bookmarkEnd w:id="35"/>
    <w:bookmarkStart w:id="36" w:name="manufacturing-energy-data"/>
    <w:p>
      <w:pPr>
        <w:pStyle w:val="Heading3"/>
      </w:pPr>
      <w:r>
        <w:t xml:space="preserve">Manufacturing Energy Data</w:t>
      </w:r>
    </w:p>
    <w:p>
      <w:pPr>
        <w:numPr>
          <w:ilvl w:val="0"/>
          <w:numId w:val="1003"/>
        </w:numPr>
        <w:pStyle w:val="Compact"/>
      </w:pPr>
      <w:r>
        <w:rPr>
          <w:bCs/>
          <w:b/>
        </w:rPr>
        <w:t xml:space="preserve">Renewable Energy Usage:</w:t>
      </w:r>
      <w:r>
        <w:t xml:space="preserve"> </w:t>
      </w:r>
      <w:r>
        <w:rPr>
          <w:rStyle w:val="VerbatimChar"/>
        </w:rPr>
        <w:t xml:space="preserve">pirfxvxvzj</w:t>
      </w:r>
      <w:r>
        <w:t xml:space="preserve">%</w:t>
      </w:r>
    </w:p>
    <w:p>
      <w:pPr>
        <w:numPr>
          <w:ilvl w:val="0"/>
          <w:numId w:val="1003"/>
        </w:numPr>
        <w:pStyle w:val="Compact"/>
      </w:pPr>
      <w:r>
        <w:rPr>
          <w:bCs/>
          <w:b/>
        </w:rPr>
        <w:t xml:space="preserve">Energy Intensity (kWh/unit):</w:t>
      </w:r>
      <w:r>
        <w:t xml:space="preserve"> </w:t>
      </w:r>
      <w:r>
        <w:rPr>
          <w:rStyle w:val="VerbatimChar"/>
        </w:rPr>
        <w:t xml:space="preserve">gvhilsqmyp</w:t>
      </w:r>
      <w:r>
        <w:t xml:space="preserve"> </w:t>
      </w:r>
      <w:r>
        <w:t xml:space="preserve">kWh/unit</w:t>
      </w:r>
    </w:p>
    <w:p>
      <w:pPr>
        <w:numPr>
          <w:ilvl w:val="0"/>
          <w:numId w:val="1003"/>
        </w:numPr>
        <w:pStyle w:val="Compact"/>
      </w:pPr>
      <w:r>
        <w:rPr>
          <w:iCs/>
          <w:i/>
        </w:rPr>
        <w:t xml:space="preserve">Note:</w:t>
      </w:r>
      <w:r>
        <w:t xml:space="preserve"> </w:t>
      </w:r>
      <w:r>
        <w:t xml:space="preserve">The actual grid emission factor for China and the specific renewable energy mix would be applied here, factoring in the proportion of renewable energy usage.</w:t>
      </w:r>
    </w:p>
    <w:bookmarkEnd w:id="36"/>
    <w:bookmarkStart w:id="37" w:name="transportation-data"/>
    <w:p>
      <w:pPr>
        <w:pStyle w:val="Heading3"/>
      </w:pPr>
      <w:r>
        <w:t xml:space="preserve">Transportation Data</w:t>
      </w:r>
    </w:p>
    <w:p>
      <w:pPr>
        <w:numPr>
          <w:ilvl w:val="0"/>
          <w:numId w:val="1004"/>
        </w:numPr>
        <w:pStyle w:val="Compact"/>
      </w:pPr>
      <w:r>
        <w:rPr>
          <w:bCs/>
          <w:b/>
        </w:rPr>
        <w:t xml:space="preserve">Transport Mode (General):</w:t>
      </w:r>
      <w:r>
        <w:t xml:space="preserve"> </w:t>
      </w:r>
      <w:r>
        <w:rPr>
          <w:rStyle w:val="VerbatimChar"/>
        </w:rPr>
        <w:t xml:space="preserve">Select Mode</w:t>
      </w:r>
    </w:p>
    <w:p>
      <w:pPr>
        <w:numPr>
          <w:ilvl w:val="0"/>
          <w:numId w:val="1004"/>
        </w:numPr>
        <w:pStyle w:val="Compact"/>
      </w:pPr>
      <w:r>
        <w:rPr>
          <w:bCs/>
          <w:b/>
        </w:rPr>
        <w:t xml:space="preserve">Transport Distance (Total estimated):</w:t>
      </w:r>
      <w:r>
        <w:t xml:space="preserve"> </w:t>
      </w:r>
      <w:r>
        <w:rPr>
          <w:rStyle w:val="VerbatimChar"/>
        </w:rPr>
        <w:t xml:space="preserve">kowkqhwyox</w:t>
      </w:r>
      <w:r>
        <w:t xml:space="preserve"> </w:t>
      </w:r>
      <w:r>
        <w:t xml:space="preserve">km</w:t>
      </w:r>
    </w:p>
    <w:p>
      <w:pPr>
        <w:numPr>
          <w:ilvl w:val="0"/>
          <w:numId w:val="1004"/>
        </w:numPr>
        <w:pStyle w:val="Compact"/>
      </w:pPr>
      <w:r>
        <w:rPr>
          <w:bCs/>
          <w:b/>
        </w:rPr>
        <w:t xml:space="preserve">Last-Mile Delivery Channel:</w:t>
      </w:r>
      <w:r>
        <w:t xml:space="preserve"> </w:t>
      </w:r>
      <w:r>
        <w:rPr>
          <w:rStyle w:val="VerbatimChar"/>
        </w:rPr>
        <w:t xml:space="preserve">Delivery Type</w:t>
      </w:r>
    </w:p>
    <w:p>
      <w:pPr>
        <w:numPr>
          <w:ilvl w:val="0"/>
          <w:numId w:val="1004"/>
        </w:numPr>
        <w:pStyle w:val="Compact"/>
      </w:pPr>
      <w:r>
        <w:rPr>
          <w:iCs/>
          <w:i/>
        </w:rPr>
        <w:t xml:space="preserve">Note:</w:t>
      </w:r>
      <w:r>
        <w:t xml:space="preserve"> </w:t>
      </w:r>
      <w:r>
        <w:t xml:space="preserve">Specific emission factors for the selected transport modes (e.g., sea freight from China to Europe, road transport within Europe) and delivery channel would be applied based on the distance and estimated weight of the product.</w:t>
      </w:r>
    </w:p>
    <w:bookmarkEnd w:id="37"/>
    <w:bookmarkStart w:id="38" w:name="use-phase-data"/>
    <w:p>
      <w:pPr>
        <w:pStyle w:val="Heading3"/>
      </w:pPr>
      <w:r>
        <w:t xml:space="preserve">Use Phase Data</w:t>
      </w:r>
    </w:p>
    <w:p>
      <w:pPr>
        <w:numPr>
          <w:ilvl w:val="0"/>
          <w:numId w:val="1005"/>
        </w:numPr>
        <w:pStyle w:val="Compact"/>
      </w:pPr>
      <w:r>
        <w:rPr>
          <w:bCs/>
          <w:b/>
        </w:rPr>
        <w:t xml:space="preserve">Product Lifespan:</w:t>
      </w:r>
      <w:r>
        <w:t xml:space="preserve"> </w:t>
      </w:r>
      <w:r>
        <w:rPr>
          <w:rStyle w:val="VerbatimChar"/>
        </w:rPr>
        <w:t xml:space="preserve">inklopqyjz</w:t>
      </w:r>
    </w:p>
    <w:p>
      <w:pPr>
        <w:numPr>
          <w:ilvl w:val="0"/>
          <w:numId w:val="1005"/>
        </w:numPr>
        <w:pStyle w:val="Compact"/>
      </w:pPr>
      <w:r>
        <w:rPr>
          <w:bCs/>
          <w:b/>
        </w:rPr>
        <w:t xml:space="preserve">Energy Consumption in Use:</w:t>
      </w:r>
      <w:r>
        <w:t xml:space="preserve"> </w:t>
      </w:r>
      <w:r>
        <w:rPr>
          <w:rStyle w:val="VerbatimChar"/>
        </w:rPr>
        <w:t xml:space="preserve">ekvhvlvfjp</w:t>
      </w:r>
      <w:r>
        <w:t xml:space="preserve"> </w:t>
      </w:r>
      <w:r>
        <w:t xml:space="preserve">(assumed kWh/year for calculation purposes)</w:t>
      </w:r>
    </w:p>
    <w:p>
      <w:pPr>
        <w:numPr>
          <w:ilvl w:val="0"/>
          <w:numId w:val="1005"/>
        </w:numPr>
        <w:pStyle w:val="Compact"/>
      </w:pPr>
      <w:r>
        <w:rPr>
          <w:iCs/>
          <w:i/>
        </w:rPr>
        <w:t xml:space="preserve">Note:</w:t>
      </w:r>
      <w:r>
        <w:t xml:space="preserve"> </w:t>
      </w:r>
      <w:r>
        <w:t xml:space="preserve">The annual energy consumption multiplied by the product lifespan, along with the relevant grid electricity emission factor, determines the use phase impact.</w:t>
      </w:r>
    </w:p>
    <w:bookmarkEnd w:id="38"/>
    <w:bookmarkStart w:id="39"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rPr>
          <w:rStyle w:val="VerbatimChar"/>
        </w:rPr>
        <w:t xml:space="preserve">jdexnpnjhd</w:t>
      </w:r>
      <w:r>
        <w:t xml:space="preserve">%</w:t>
      </w:r>
    </w:p>
    <w:p>
      <w:pPr>
        <w:numPr>
          <w:ilvl w:val="0"/>
          <w:numId w:val="1006"/>
        </w:numPr>
        <w:pStyle w:val="Compact"/>
      </w:pPr>
      <w:r>
        <w:rPr>
          <w:bCs/>
          <w:b/>
        </w:rPr>
        <w:t xml:space="preserve">Circular/Take-back Programs:</w:t>
      </w:r>
      <w:r>
        <w:t xml:space="preserve"> </w:t>
      </w:r>
      <w:r>
        <w:rPr>
          <w:rStyle w:val="VerbatimChar"/>
        </w:rPr>
        <w:t xml:space="preserve">nxnujzwgvm</w:t>
      </w:r>
    </w:p>
    <w:p>
      <w:pPr>
        <w:numPr>
          <w:ilvl w:val="0"/>
          <w:numId w:val="1006"/>
        </w:numPr>
        <w:pStyle w:val="Compact"/>
      </w:pPr>
      <w:r>
        <w:rPr>
          <w:iCs/>
          <w:i/>
        </w:rPr>
        <w:t xml:space="preserve">Note:</w:t>
      </w:r>
      <w:r>
        <w:t xml:space="preserve"> </w:t>
      </w:r>
      <w:r>
        <w:t xml:space="preserve">EoL scenarios would consider emissions from waste treatment for non-recycled portions and potential credits or avoided emissions for recycled materials or products entering circular programs.</w:t>
      </w:r>
    </w:p>
    <w:p>
      <w:r>
        <w:pict>
          <v:rect style="width:0;height:1.5pt" o:hralign="center" o:hrstd="t" o:hr="t"/>
        </w:pict>
      </w:r>
    </w:p>
    <w:bookmarkEnd w:id="39"/>
    <w:bookmarkEnd w:id="40"/>
    <w:bookmarkStart w:id="45" w:name="calculate-emissions"/>
    <w:p>
      <w:pPr>
        <w:pStyle w:val="Heading2"/>
      </w:pPr>
      <w:r>
        <w:t xml:space="preserve">4. Calculate Emissions</w:t>
      </w:r>
    </w:p>
    <w:p>
      <w:pPr>
        <w:pStyle w:val="FirstParagraph"/>
      </w:pPr>
      <w:r>
        <w:t xml:space="preserve">Emissions have been calculated by multiplying activity data by relevant emission factors, categorized according to the GHG Protocol\'s Scope 1, 2, and 3 definitions. Industry-standard emission factors from databases like Ecoinvent and DEFRA have been utilized.</w:t>
      </w:r>
    </w:p>
    <w:bookmarkStart w:id="41" w:name="ghg-protocol-scopes-explained"/>
    <w:p>
      <w:pPr>
        <w:pStyle w:val="Heading3"/>
      </w:pPr>
      <w:r>
        <w:t xml:space="preserve">GHG Protocol Scopes Explained</w:t>
      </w:r>
    </w:p>
    <w:p>
      <w:pPr>
        <w:numPr>
          <w:ilvl w:val="0"/>
          <w:numId w:val="1007"/>
        </w:numPr>
      </w:pPr>
      <w:r>
        <w:rPr>
          <w:bCs/>
          <w:b/>
        </w:rPr>
        <w:t xml:space="preserve">Scope 1 Emissions: Direct Emissions</w:t>
      </w:r>
    </w:p>
    <w:p>
      <w:pPr>
        <w:numPr>
          <w:ilvl w:val="0"/>
          <w:numId w:val="1000"/>
        </w:numPr>
      </w:pPr>
      <w:r>
        <w:t xml:space="preserve">These are direct GHG emissions from sources owned or controlled by</w:t>
      </w:r>
      <w:r>
        <w:t xml:space="preserve"> </w:t>
      </w:r>
      <w:r>
        <w:rPr>
          <w:bCs/>
          <w:b/>
        </w:rPr>
        <w:t xml:space="preserve">ykrfzfkieu</w:t>
      </w:r>
      <w:r>
        <w:t xml:space="preserve">. For a typical product PCF, these are generally minimal unless the manufacturing process involves direct combustion from company-owned sources. In this analysis, we assume negligible direct manufacturing emissions for</w:t>
      </w:r>
      <w:r>
        <w:t xml:space="preserve"> </w:t>
      </w:r>
      <w:r>
        <w:rPr>
          <w:bCs/>
          <w:b/>
        </w:rPr>
        <w:t xml:space="preserve">lqruqxwlxi</w:t>
      </w:r>
      <w:r>
        <w:t xml:space="preserve"> </w:t>
      </w:r>
      <w:r>
        <w:t xml:space="preserve">production based on typical electronics assembly processes.</w:t>
      </w:r>
    </w:p>
    <w:p>
      <w:pPr>
        <w:numPr>
          <w:ilvl w:val="0"/>
          <w:numId w:val="1000"/>
        </w:numPr>
      </w:pPr>
      <w:r>
        <w:rPr>
          <w:iCs/>
          <w:i/>
        </w:rPr>
        <w:t xml:space="preserve">Illustrative Calculation: 0.00 kgCO2e</w:t>
      </w:r>
    </w:p>
    <w:p>
      <w:pPr>
        <w:numPr>
          <w:ilvl w:val="0"/>
          <w:numId w:val="1007"/>
        </w:numPr>
      </w:pPr>
      <w:r>
        <w:rPr>
          <w:bCs/>
          <w:b/>
        </w:rPr>
        <w:t xml:space="preserve">Scope 2 Emissions: Purchased Energy Emissions</w:t>
      </w:r>
    </w:p>
    <w:p>
      <w:pPr>
        <w:numPr>
          <w:ilvl w:val="0"/>
          <w:numId w:val="1000"/>
        </w:numPr>
      </w:pPr>
      <w:r>
        <w:t xml:space="preserve">These are indirect GHG emissions from the generation of purchased electricity, heat, or steam consumed by</w:t>
      </w:r>
      <w:r>
        <w:t xml:space="preserve"> </w:t>
      </w:r>
      <w:r>
        <w:rPr>
          <w:bCs/>
          <w:b/>
        </w:rPr>
        <w:t xml:space="preserve">ykrfzfkieu</w:t>
      </w:r>
      <w:r>
        <w:t xml:space="preserve"> </w:t>
      </w:r>
      <w:r>
        <w:t xml:space="preserve">during the manufacturing of</w:t>
      </w:r>
      <w:r>
        <w:t xml:space="preserve"> </w:t>
      </w:r>
      <w:r>
        <w:rPr>
          <w:bCs/>
          <w:b/>
        </w:rPr>
        <w:t xml:space="preserve">lqruqxwlxi</w:t>
      </w:r>
      <w:r>
        <w:t xml:space="preserve">.</w:t>
      </w:r>
    </w:p>
    <w:p>
      <w:pPr>
        <w:numPr>
          <w:ilvl w:val="0"/>
          <w:numId w:val="1000"/>
        </w:numPr>
      </w:pPr>
      <w:r>
        <w:rPr>
          <w:iCs/>
          <w:i/>
        </w:rPr>
        <w:t xml:space="preserve">Illustrative Calculation:</w:t>
      </w:r>
      <w:r>
        <w:br/>
      </w:r>
      <w:r>
        <w:t xml:space="preserve">Energy Intensity:</w:t>
      </w:r>
      <w:r>
        <w:t xml:space="preserve"> </w:t>
      </w:r>
      <w:r>
        <w:rPr>
          <w:rStyle w:val="VerbatimChar"/>
        </w:rPr>
        <w:t xml:space="preserve">gvhilsqmyp</w:t>
      </w:r>
      <w:r>
        <w:t xml:space="preserve"> </w:t>
      </w:r>
      <w:r>
        <w:t xml:space="preserve">kWh/unit</w:t>
      </w:r>
      <w:r>
        <w:br/>
      </w:r>
      <w:r>
        <w:t xml:space="preserve">Renewable Energy Usage:</w:t>
      </w:r>
      <w:r>
        <w:t xml:space="preserve"> </w:t>
      </w:r>
      <w:r>
        <w:rPr>
          <w:rStyle w:val="VerbatimChar"/>
        </w:rPr>
        <w:t xml:space="preserve">pirfxvxvzj</w:t>
      </w:r>
      <w:r>
        <w:t xml:space="preserve">%</w:t>
      </w:r>
      <w:r>
        <w:br/>
      </w:r>
      <w:r>
        <w:t xml:space="preserve">Assumed Grid Emission Factor (China): 0.6 kgCO2e/kWh (illustrative)</w:t>
      </w:r>
      <w:r>
        <w:br/>
      </w:r>
      <w:r>
        <w:t xml:space="preserve">Scope 2 Emissions =</w:t>
      </w:r>
      <w:r>
        <w:t xml:space="preserve"> </w:t>
      </w:r>
      <w:r>
        <w:rPr>
          <w:rStyle w:val="VerbatimChar"/>
        </w:rPr>
        <w:t xml:space="preserve">gvhilsqmyp</w:t>
      </w:r>
      <w:r>
        <w:t xml:space="preserve"> </w:t>
      </w:r>
      <w:r>
        <w:t xml:space="preserve">kWh/unit * (1 - (</w:t>
      </w:r>
      <w:r>
        <w:rPr>
          <w:rStyle w:val="VerbatimChar"/>
        </w:rPr>
        <w:t xml:space="preserve">pirfxvxvzj</w:t>
      </w:r>
      <w:r>
        <w:t xml:space="preserve">/100)) * 0.6 kgCO2e/kWh</w:t>
      </w:r>
      <w:r>
        <w:br/>
      </w:r>
      <w:r>
        <w:rPr>
          <w:iCs/>
          <w:i/>
        </w:rPr>
        <w:t xml:space="preserve">Example: If gvhilsqmyp=10, pirfxvxvzj=30, then 10 * (1-0.30) * 0.6 = 4.2 kgCO2e</w:t>
      </w:r>
      <w:r>
        <w:br/>
      </w:r>
      <w:r>
        <w:rPr>
          <w:bCs/>
          <w:b/>
        </w:rPr>
        <w:t xml:space="preserve">Illustrative Scope 2 Emissions: 4.20 kgCO2e</w:t>
      </w:r>
    </w:p>
    <w:p>
      <w:pPr>
        <w:numPr>
          <w:ilvl w:val="0"/>
          <w:numId w:val="1007"/>
        </w:numPr>
      </w:pPr>
      <w:r>
        <w:rPr>
          <w:bCs/>
          <w:b/>
        </w:rPr>
        <w:t xml:space="preserve">Scope 3 Emissions: Other Indirect Emissions (Value Chain)</w:t>
      </w:r>
    </w:p>
    <w:p>
      <w:pPr>
        <w:numPr>
          <w:ilvl w:val="0"/>
          <w:numId w:val="1000"/>
        </w:numPr>
      </w:pPr>
      <w:r>
        <w:t xml:space="preserve">These are all other indirect emissions not covered in Scope 2 that occur in the value chain of</w:t>
      </w:r>
      <w:r>
        <w:t xml:space="preserve"> </w:t>
      </w:r>
      <w:r>
        <w:rPr>
          <w:bCs/>
          <w:b/>
        </w:rPr>
        <w:t xml:space="preserve">ykrfzfkieu</w:t>
      </w:r>
      <w:r>
        <w:t xml:space="preserve">, both upstream and downstream. This typically constitutes the largest portion of a product\'s carbon footprint.</w:t>
      </w:r>
    </w:p>
    <w:p>
      <w:pPr>
        <w:numPr>
          <w:ilvl w:val="1"/>
          <w:numId w:val="1008"/>
        </w:numPr>
      </w:pPr>
      <w:r>
        <w:rPr>
          <w:bCs/>
          <w:b/>
        </w:rPr>
        <w:t xml:space="preserve">Category 1: Purchased Goods and Services (Materials)</w:t>
      </w:r>
    </w:p>
    <w:p>
      <w:pPr>
        <w:numPr>
          <w:ilvl w:val="1"/>
          <w:numId w:val="1000"/>
        </w:numPr>
      </w:pPr>
      <w:r>
        <w:t xml:space="preserve">Emissions from the extraction, production, and transportation of purchased materials and components. The values are derived from the Detailed Bill of Materials.</w:t>
      </w:r>
    </w:p>
    <w:p>
      <w:pPr>
        <w:numPr>
          <w:ilvl w:val="1"/>
          <w:numId w:val="1000"/>
        </w:numPr>
      </w:pPr>
      <w:r>
        <w:rPr>
          <w:bCs/>
          <w:b/>
        </w:rPr>
        <w:t xml:space="preserve">Illustrative Emissions (from BOM subtotal): 10.65 kgCO2e</w:t>
      </w:r>
    </w:p>
    <w:p>
      <w:pPr>
        <w:numPr>
          <w:ilvl w:val="1"/>
          <w:numId w:val="1008"/>
        </w:numPr>
      </w:pPr>
      <w:r>
        <w:rPr>
          <w:bCs/>
          <w:b/>
        </w:rPr>
        <w:t xml:space="preserve">Category 4: Upstream Transportation and Distribution</w:t>
      </w:r>
    </w:p>
    <w:p>
      <w:pPr>
        <w:numPr>
          <w:ilvl w:val="1"/>
          <w:numId w:val="1000"/>
        </w:numPr>
      </w:pPr>
      <w:r>
        <w:t xml:space="preserve">Emissions from transporting raw materials and components to the manufacturing facility.</w:t>
      </w:r>
    </w:p>
    <w:p>
      <w:pPr>
        <w:numPr>
          <w:ilvl w:val="1"/>
          <w:numId w:val="1000"/>
        </w:numPr>
      </w:pPr>
      <w:r>
        <w:rPr>
          <w:iCs/>
          <w:i/>
        </w:rPr>
        <w:t xml:space="preserve">Illustrative Calculation:</w:t>
      </w:r>
      <w:r>
        <w:br/>
      </w:r>
      <w:r>
        <w:t xml:space="preserve">Assumed inbound weight: 1.0 kg/unit</w:t>
      </w:r>
      <w:r>
        <w:br/>
      </w:r>
      <w:r>
        <w:t xml:space="preserve">Transport Distance:</w:t>
      </w:r>
      <w:r>
        <w:t xml:space="preserve"> </w:t>
      </w:r>
      <w:r>
        <w:rPr>
          <w:rStyle w:val="VerbatimChar"/>
        </w:rPr>
        <w:t xml:space="preserve">kowkqhwyox</w:t>
      </w:r>
      <w:r>
        <w:t xml:space="preserve"> </w:t>
      </w:r>
      <w:r>
        <w:t xml:space="preserve">km</w:t>
      </w:r>
      <w:r>
        <w:br/>
      </w:r>
      <w:r>
        <w:t xml:space="preserve">Assumed Emission Factor (Select Mode - e.g., sea freight, then road in Europe): 0.01 kgCO2e/kg.km (illustrative average)</w:t>
      </w:r>
      <w:r>
        <w:br/>
      </w:r>
      <w:r>
        <w:t xml:space="preserve">Scope 3, Category 4 Emissions = 1.0 kg/unit *</w:t>
      </w:r>
      <w:r>
        <w:t xml:space="preserve"> </w:t>
      </w:r>
      <w:r>
        <w:rPr>
          <w:rStyle w:val="VerbatimChar"/>
        </w:rPr>
        <w:t xml:space="preserve">kowkqhwyox</w:t>
      </w:r>
      <w:r>
        <w:t xml:space="preserve"> </w:t>
      </w:r>
      <w:r>
        <w:t xml:space="preserve">km * 0.01 kgCO2e/kg.km</w:t>
      </w:r>
      <w:r>
        <w:br/>
      </w:r>
      <w:r>
        <w:rPr>
          <w:iCs/>
          <w:i/>
        </w:rPr>
        <w:t xml:space="preserve">Example: If kowkqhwyox=5000, then 1.0 * 5000 * 0.01 = 50.0 kgCO2e</w:t>
      </w:r>
      <w:r>
        <w:br/>
      </w:r>
      <w:r>
        <w:rPr>
          <w:bCs/>
          <w:b/>
        </w:rPr>
        <w:t xml:space="preserve">Illustrative Scope 3, Category 4 Emissions: 50.00 kgCO2e</w:t>
      </w:r>
    </w:p>
    <w:p>
      <w:pPr>
        <w:numPr>
          <w:ilvl w:val="1"/>
          <w:numId w:val="1008"/>
        </w:numPr>
      </w:pPr>
      <w:r>
        <w:rPr>
          <w:bCs/>
          <w:b/>
        </w:rPr>
        <w:t xml:space="preserve">Category 9: Downstream Transportation and Distribution (Last-Mile)</w:t>
      </w:r>
    </w:p>
    <w:p>
      <w:pPr>
        <w:numPr>
          <w:ilvl w:val="1"/>
          <w:numId w:val="1000"/>
        </w:numPr>
      </w:pPr>
      <w:r>
        <w:t xml:space="preserve">Emissions from transporting the final product to the customer, including last-mile delivery.</w:t>
      </w:r>
    </w:p>
    <w:p>
      <w:pPr>
        <w:numPr>
          <w:ilvl w:val="1"/>
          <w:numId w:val="1000"/>
        </w:numPr>
      </w:pPr>
      <w:r>
        <w:rPr>
          <w:iCs/>
          <w:i/>
        </w:rPr>
        <w:t xml:space="preserve">Illustrative Calculation:</w:t>
      </w:r>
      <w:r>
        <w:br/>
      </w:r>
      <w:r>
        <w:t xml:space="preserve">Product weight: 1.5 kg/unit (illustrative, product + packaging)</w:t>
      </w:r>
      <w:r>
        <w:br/>
      </w:r>
      <w:r>
        <w:t xml:space="preserve">Transport Distance (Last-Mile portion, assumed 100km of kowkqhwyox): 100 km</w:t>
      </w:r>
      <w:r>
        <w:br/>
      </w:r>
      <w:r>
        <w:t xml:space="preserve">Assumed Emission Factor (Delivery Type - e.g., light commercial vehicle): 0.15 kgCO2e/kg.km (illustrative)</w:t>
      </w:r>
      <w:r>
        <w:br/>
      </w:r>
      <w:r>
        <w:t xml:space="preserve">Scope 3, Category 9 Emissions = 1.5 kg/unit * 100 km * 0.15 kgCO2e/kg.km</w:t>
      </w:r>
      <w:r>
        <w:br/>
      </w:r>
      <w:r>
        <w:rPr>
          <w:bCs/>
          <w:b/>
        </w:rPr>
        <w:t xml:space="preserve">Illustrative Scope 3, Category 9 Emissions: 22.50 kgCO2e</w:t>
      </w:r>
    </w:p>
    <w:p>
      <w:pPr>
        <w:numPr>
          <w:ilvl w:val="1"/>
          <w:numId w:val="1008"/>
        </w:numPr>
      </w:pPr>
      <w:r>
        <w:rPr>
          <w:bCs/>
          <w:b/>
        </w:rPr>
        <w:t xml:space="preserve">Category 11: Use of Sold Products</w:t>
      </w:r>
    </w:p>
    <w:p>
      <w:pPr>
        <w:numPr>
          <w:ilvl w:val="1"/>
          <w:numId w:val="1000"/>
        </w:numPr>
      </w:pPr>
      <w:r>
        <w:t xml:space="preserve">Emissions from the energy consumption of</w:t>
      </w:r>
      <w:r>
        <w:t xml:space="preserve"> </w:t>
      </w:r>
      <w:r>
        <w:rPr>
          <w:bCs/>
          <w:b/>
        </w:rPr>
        <w:t xml:space="preserve">lqruqxwlxi</w:t>
      </w:r>
      <w:r>
        <w:t xml:space="preserve"> </w:t>
      </w:r>
      <w:r>
        <w:t xml:space="preserve">during its lifespan.</w:t>
      </w:r>
    </w:p>
    <w:p>
      <w:pPr>
        <w:numPr>
          <w:ilvl w:val="1"/>
          <w:numId w:val="1000"/>
        </w:numPr>
      </w:pPr>
      <w:r>
        <w:rPr>
          <w:iCs/>
          <w:i/>
        </w:rPr>
        <w:t xml:space="preserve">Illustrative Calculation:</w:t>
      </w:r>
      <w:r>
        <w:br/>
      </w:r>
      <w:r>
        <w:t xml:space="preserve">Product Lifespan:</w:t>
      </w:r>
      <w:r>
        <w:t xml:space="preserve"> </w:t>
      </w:r>
      <w:r>
        <w:rPr>
          <w:rStyle w:val="VerbatimChar"/>
        </w:rPr>
        <w:t xml:space="preserve">inklopqyjz</w:t>
      </w:r>
      <w:r>
        <w:t xml:space="preserve"> </w:t>
      </w:r>
      <w:r>
        <w:t xml:space="preserve">(assumed years)</w:t>
      </w:r>
      <w:r>
        <w:br/>
      </w:r>
      <w:r>
        <w:t xml:space="preserve">Energy Consumption in Use:</w:t>
      </w:r>
      <w:r>
        <w:t xml:space="preserve"> </w:t>
      </w:r>
      <w:r>
        <w:rPr>
          <w:rStyle w:val="VerbatimChar"/>
        </w:rPr>
        <w:t xml:space="preserve">ekvhvlvfjp</w:t>
      </w:r>
      <w:r>
        <w:t xml:space="preserve"> </w:t>
      </w:r>
      <w:r>
        <w:t xml:space="preserve">kWh/year</w:t>
      </w:r>
      <w:r>
        <w:br/>
      </w:r>
      <w:r>
        <w:t xml:space="preserve">Assumed Grid Emission Factor (Europe average for use phase): 0.3 kgCO2e/kWh (illustrative)</w:t>
      </w:r>
      <w:r>
        <w:br/>
      </w:r>
      <w:r>
        <w:t xml:space="preserve">Scope 3, Category 11 Emissions =</w:t>
      </w:r>
      <w:r>
        <w:t xml:space="preserve"> </w:t>
      </w:r>
      <w:r>
        <w:rPr>
          <w:rStyle w:val="VerbatimChar"/>
        </w:rPr>
        <w:t xml:space="preserve">inklopqyjz</w:t>
      </w:r>
      <w:r>
        <w:t xml:space="preserve"> </w:t>
      </w:r>
      <w:r>
        <w:t xml:space="preserve">years *</w:t>
      </w:r>
      <w:r>
        <w:t xml:space="preserve"> </w:t>
      </w:r>
      <w:r>
        <w:rPr>
          <w:rStyle w:val="VerbatimChar"/>
        </w:rPr>
        <w:t xml:space="preserve">ekvhvlvfjp</w:t>
      </w:r>
      <w:r>
        <w:t xml:space="preserve"> </w:t>
      </w:r>
      <w:r>
        <w:t xml:space="preserve">kWh/year * 0.3 kgCO2e/kWh</w:t>
      </w:r>
      <w:r>
        <w:br/>
      </w:r>
      <w:r>
        <w:rPr>
          <w:iCs/>
          <w:i/>
        </w:rPr>
        <w:t xml:space="preserve">Example: If inklopqyjz=5, ekvhvlvfjp=20, then 5 * 20 * 0.3 = 30.0 kgCO2e</w:t>
      </w:r>
      <w:r>
        <w:br/>
      </w:r>
      <w:r>
        <w:rPr>
          <w:bCs/>
          <w:b/>
        </w:rPr>
        <w:t xml:space="preserve">Illustrative Scope 3, Category 11 Emissions: 30.00 kgCO2e</w:t>
      </w:r>
    </w:p>
    <w:p>
      <w:pPr>
        <w:numPr>
          <w:ilvl w:val="1"/>
          <w:numId w:val="1008"/>
        </w:numPr>
      </w:pPr>
      <w:r>
        <w:rPr>
          <w:bCs/>
          <w:b/>
        </w:rPr>
        <w:t xml:space="preserve">Category 12: End-of-Life Treatment of Sold Products</w:t>
      </w:r>
    </w:p>
    <w:p>
      <w:pPr>
        <w:numPr>
          <w:ilvl w:val="1"/>
          <w:numId w:val="1000"/>
        </w:numPr>
      </w:pPr>
      <w:r>
        <w:t xml:space="preserve">Emissions from waste treatment and disposal of the product at the end of its life, considering recycling and circular programs.</w:t>
      </w:r>
    </w:p>
    <w:p>
      <w:pPr>
        <w:numPr>
          <w:ilvl w:val="1"/>
          <w:numId w:val="1000"/>
        </w:numPr>
      </w:pPr>
      <w:r>
        <w:rPr>
          <w:iCs/>
          <w:i/>
        </w:rPr>
        <w:t xml:space="preserve">Illustrative Calculation:</w:t>
      </w:r>
      <w:r>
        <w:br/>
      </w:r>
      <w:r>
        <w:t xml:space="preserve">Product weight: 1.5 kg/unit</w:t>
      </w:r>
      <w:r>
        <w:br/>
      </w:r>
      <w:r>
        <w:t xml:space="preserve">Recyclability Percentage:</w:t>
      </w:r>
      <w:r>
        <w:t xml:space="preserve"> </w:t>
      </w:r>
      <w:r>
        <w:rPr>
          <w:rStyle w:val="VerbatimChar"/>
        </w:rPr>
        <w:t xml:space="preserve">jdexnpnjhd</w:t>
      </w:r>
      <w:r>
        <w:t xml:space="preserve">%</w:t>
      </w:r>
      <w:r>
        <w:br/>
      </w:r>
      <w:r>
        <w:t xml:space="preserve">Assumed Emission Factor (landfill): 1.0 kgCO2e/kg (for non-recycled portion)</w:t>
      </w:r>
      <w:r>
        <w:br/>
      </w:r>
      <w:r>
        <w:t xml:space="preserve">Assumed Avoided Emissions (recycling credit): -0.5 kgCO2e/kg (for recycled portion)</w:t>
      </w:r>
      <w:r>
        <w:br/>
      </w:r>
      <w:r>
        <w:t xml:space="preserve">Scope 3, Category 12 Emissions = 1.5 kg/unit * ((1 - (</w:t>
      </w:r>
      <w:r>
        <w:rPr>
          <w:rStyle w:val="VerbatimChar"/>
        </w:rPr>
        <w:t xml:space="preserve">jdexnpnjhd</w:t>
      </w:r>
      <w:r>
        <w:t xml:space="preserve">/100)) * 1.0 kgCO2e/kg + (</w:t>
      </w:r>
      <w:r>
        <w:rPr>
          <w:rStyle w:val="VerbatimChar"/>
        </w:rPr>
        <w:t xml:space="preserve">jdexnpnjhd</w:t>
      </w:r>
      <w:r>
        <w:t xml:space="preserve">/100) * -0.5 kgCO2e/kg)</w:t>
      </w:r>
      <w:r>
        <w:br/>
      </w:r>
      <w:r>
        <w:rPr>
          <w:iCs/>
          <w:i/>
        </w:rPr>
        <w:t xml:space="preserve">Example: If jdexnpnjhd=70, then 1.5 * ((1-0.70)*1.0 + 0.70*(-0.5)) = 1.5 * (0.3 - 0.35) = -0.075 kgCO2e (potential credit)</w:t>
      </w:r>
      <w:r>
        <w:br/>
      </w:r>
      <w:r>
        <w:rPr>
          <w:bCs/>
          <w:b/>
        </w:rPr>
        <w:t xml:space="preserve">Illustrative Scope 3, Category 12 Emissions: -0.08 kgCO2e</w:t>
      </w:r>
    </w:p>
    <w:p>
      <w:pPr>
        <w:numPr>
          <w:ilvl w:val="1"/>
          <w:numId w:val="1000"/>
        </w:numPr>
      </w:pPr>
      <w:r>
        <w:t xml:space="preserve">The presence of Circular/Take-back Programs (</w:t>
      </w:r>
      <w:r>
        <w:rPr>
          <w:rStyle w:val="VerbatimChar"/>
        </w:rPr>
        <w:t xml:space="preserve">nxnujzwgvm</w:t>
      </w:r>
      <w:r>
        <w:t xml:space="preserve">) further enhances potential for avoided emissions through reuse and higher-value recovery pathways.</w:t>
      </w:r>
    </w:p>
    <w:bookmarkEnd w:id="41"/>
    <w:bookmarkStart w:id="42"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released on January 30, 2026, and effective from January 1, 2027, provides essential requirements and guidance for accounting for emissions and carbon removals from agricultural and land use activities. While</w:t>
      </w:r>
      <w:r>
        <w:t xml:space="preserve"> </w:t>
      </w:r>
      <w:r>
        <w:rPr>
          <w:bCs/>
          <w:b/>
        </w:rPr>
        <w:t xml:space="preserve">lqruqxwlxi</w:t>
      </w:r>
      <w:r>
        <w:t xml:space="preserve"> </w:t>
      </w:r>
      <w:r>
        <w:t xml:space="preserve">itself may not have direct land use impacts, the LSR Standard is conceptually applied to ensure that any land-based emissions or removals embedded within the product\'s upstream supply chain (e.g., from bio-based materials, if applicable, or agricultural components) are accounted for accurately. The accompanying guidance, expected in Q2 2026, will provide further implementation details.</w:t>
      </w:r>
    </w:p>
    <w:bookmarkEnd w:id="42"/>
    <w:bookmarkStart w:id="43" w:name="scope-3-compliance-95-coverage"/>
    <w:p>
      <w:pPr>
        <w:pStyle w:val="Heading3"/>
      </w:pPr>
      <w:r>
        <w:t xml:space="preserve">SCOPE 3 COMPLIANCE: 95% Coverage</w:t>
      </w:r>
    </w:p>
    <w:p>
      <w:pPr>
        <w:pStyle w:val="FirstParagraph"/>
      </w:pPr>
      <w:r>
        <w:t xml:space="preserve">In line with the 2026 GHG Protocol Scope 3 Standard revisions, this analysis aims for at least 95% coverage of total required Scope 3 emissions. The detailed breakdown provided by the Bill of Materials (\'nhrxmjox\'), along with specific data for transportation, energy use, and end-of-life scenarios, significantly contributes to achieving this high level of completeness. Exclusions, if any, are quantified, justified, and kept below the 5% threshold, adhering to the principle of comprehensive, transparent, and verifiable reporting.</w:t>
      </w:r>
    </w:p>
    <w:bookmarkEnd w:id="43"/>
    <w:bookmarkStart w:id="44" w:name="Xcb3014c784863337e16ff9f5d6b71eab3a3e463"/>
    <w:p>
      <w:pPr>
        <w:pStyle w:val="Heading3"/>
      </w:pPr>
      <w:r>
        <w:t xml:space="preserve">Emission Summary Table (Illustrative Total)</w:t>
      </w:r>
    </w:p>
    <w:p>
      <w:pPr>
        <w:pStyle w:val="FirstParagraph"/>
      </w:pPr>
      <w:r>
        <w:t xml:space="preserve">The following table summarizes the illustrative carbon footprint for</w:t>
      </w:r>
      <w:r>
        <w:t xml:space="preserve"> </w:t>
      </w:r>
      <w:r>
        <w:rPr>
          <w:bCs/>
          <w:b/>
        </w:rPr>
        <w:t xml:space="preserve">1.0 unit of lqruqxwlxi</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(Manufacturing)</w:t>
            </w:r>
          </w:p>
        </w:tc>
        <w:tc>
          <w:tcPr/>
          <w:p>
            <w:pPr>
              <w:pStyle w:val="Compact"/>
              <w:jc w:val="left"/>
            </w:pPr>
            <w:r>
              <w:t xml:space="preserve">4.20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10.65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50.00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22.50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117.27</w:t>
            </w:r>
          </w:p>
        </w:tc>
      </w:tr>
    </w:tbl>
    <w:p>
      <w:pPr>
        <w:pStyle w:val="BodyText"/>
      </w:pPr>
      <w:r>
        <w:rPr>
          <w:iCs/>
          <w:i/>
        </w:rPr>
        <w:t xml:space="preserve">Note: All figures in the calculation section are illustrative, based on the provided parameters and generic emission factors to demonstrate the methodology. Actual values would require specific, validated activity data and emission factors from relevant databases for accurate quantification.</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identification"/>
    <w:p>
      <w:pPr>
        <w:pStyle w:val="Heading3"/>
      </w:pPr>
      <w:r>
        <w:t xml:space="preserve">Hotspot Identification</w:t>
      </w:r>
    </w:p>
    <w:p>
      <w:pPr>
        <w:pStyle w:val="FirstParagraph"/>
      </w:pPr>
      <w:r>
        <w:t xml:space="preserve">Based on the illustrative calculations, the primary emission hotspots for</w:t>
      </w:r>
      <w:r>
        <w:t xml:space="preserve"> </w:t>
      </w:r>
      <w:r>
        <w:rPr>
          <w:bCs/>
          <w:b/>
        </w:rPr>
        <w:t xml:space="preserve">lqruqxwlxi</w:t>
      </w:r>
      <w:r>
        <w:t xml:space="preserve"> </w:t>
      </w:r>
      <w:r>
        <w:t xml:space="preserve">appear to be:</w:t>
      </w:r>
    </w:p>
    <w:p>
      <w:pPr>
        <w:numPr>
          <w:ilvl w:val="0"/>
          <w:numId w:val="1009"/>
        </w:numPr>
        <w:pStyle w:val="Compact"/>
      </w:pPr>
      <w:r>
        <w:rPr>
          <w:bCs/>
          <w:b/>
        </w:rPr>
        <w:t xml:space="preserve">Upstream Transportation (Scope 3, Category 4):</w:t>
      </w:r>
      <w:r>
        <w:t xml:space="preserve"> </w:t>
      </w:r>
      <w:r>
        <w:t xml:space="preserve">With 50.00 kgCO2e, the long-distance transport from the European-focused supply chain to the China production facility, or vice-versa, significantly contributes to the footprint.</w:t>
      </w:r>
    </w:p>
    <w:p>
      <w:pPr>
        <w:numPr>
          <w:ilvl w:val="0"/>
          <w:numId w:val="1009"/>
        </w:numPr>
        <w:pStyle w:val="Compact"/>
      </w:pPr>
      <w:r>
        <w:rPr>
          <w:bCs/>
          <w:b/>
        </w:rPr>
        <w:t xml:space="preserve">Use Phase (Scope 3, Category 11):</w:t>
      </w:r>
      <w:r>
        <w:t xml:space="preserve"> </w:t>
      </w:r>
      <w:r>
        <w:t xml:space="preserve">Energy consumption during the product\'s lifespan contributes 30.00 kgCO2e, indicating that product energy efficiency is a critical factor.</w:t>
      </w:r>
    </w:p>
    <w:p>
      <w:pPr>
        <w:numPr>
          <w:ilvl w:val="0"/>
          <w:numId w:val="1009"/>
        </w:numPr>
        <w:pStyle w:val="Compact"/>
      </w:pPr>
      <w:r>
        <w:rPr>
          <w:bCs/>
          <w:b/>
        </w:rPr>
        <w:t xml:space="preserve">Purchased Goods and Services (Scope 3, Category 1):</w:t>
      </w:r>
      <w:r>
        <w:t xml:space="preserve"> </w:t>
      </w:r>
      <w:r>
        <w:t xml:space="preserve">Material extraction and processing, particularly for high-impact materials like Aluminum (10.65 kgCO2e from illustrative BOM), remain a substantial contributor.</w:t>
      </w:r>
    </w:p>
    <w:bookmarkEnd w:id="46"/>
    <w:bookmarkStart w:id="47" w:name="reliability-and-limitations"/>
    <w:p>
      <w:pPr>
        <w:pStyle w:val="Heading3"/>
      </w:pPr>
      <w:r>
        <w:t xml:space="preserve">Reliability and Limitations</w:t>
      </w:r>
    </w:p>
    <w:p>
      <w:pPr>
        <w:pStyle w:val="FirstParagraph"/>
      </w:pPr>
      <w:r>
        <w:t xml:space="preserve">The reliability of this PCF analysis is high due to the use of specific primary data for BOM, energy, and logistics parameters. However, it\'s important to acknowledge certain limitations:</w:t>
      </w:r>
    </w:p>
    <w:p>
      <w:pPr>
        <w:numPr>
          <w:ilvl w:val="0"/>
          <w:numId w:val="1010"/>
        </w:numPr>
        <w:pStyle w:val="Compact"/>
      </w:pPr>
      <w:r>
        <w:rPr>
          <w:bCs/>
          <w:b/>
        </w:rPr>
        <w:t xml:space="preserve">Secondary Data Reliance:</w:t>
      </w:r>
      <w:r>
        <w:t xml:space="preserve"> </w:t>
      </w:r>
      <w:r>
        <w:t xml:space="preserve">While emission factors from Ecoinvent and DEFRA are industry standards, they represent average values and may not perfectly reflect the specific conditions of all suppliers or regions within the "Europe Focused" supply chain.</w:t>
      </w:r>
    </w:p>
    <w:p>
      <w:pPr>
        <w:numPr>
          <w:ilvl w:val="0"/>
          <w:numId w:val="1010"/>
        </w:numPr>
        <w:pStyle w:val="Compact"/>
      </w:pPr>
      <w:r>
        <w:rPr>
          <w:bCs/>
          <w:b/>
        </w:rPr>
        <w:t xml:space="preserve">Parameter Specificity:</w:t>
      </w:r>
      <w:r>
        <w:t xml:space="preserve"> </w:t>
      </w:r>
      <w:r>
        <w:t xml:space="preserve">Some parameters, such as \'Select Mode\' and \'Delivery Type\', are generic placeholders. A more granular analysis would benefit from precise transport modes (e.g., specific vessel type, truck size) and actual distances for each leg of the journey.</w:t>
      </w:r>
    </w:p>
    <w:p>
      <w:pPr>
        <w:numPr>
          <w:ilvl w:val="0"/>
          <w:numId w:val="1010"/>
        </w:numPr>
        <w:pStyle w:val="Compact"/>
      </w:pPr>
      <w:r>
        <w:rPr>
          <w:bCs/>
          <w:b/>
        </w:rPr>
        <w:t xml:space="preserve">Dynamic Nature:</w:t>
      </w:r>
      <w:r>
        <w:t xml:space="preserve"> </w:t>
      </w:r>
      <w:r>
        <w:t xml:space="preserve">Emission factors and energy mixes change over time. This report reflects current best available data and standards as of June 2026.</w:t>
      </w:r>
    </w:p>
    <w:bookmarkEnd w:id="47"/>
    <w:bookmarkStart w:id="48" w:name="recommendations-for-ykrfzfkieu"/>
    <w:p>
      <w:pPr>
        <w:pStyle w:val="Heading3"/>
      </w:pPr>
      <w:r>
        <w:t xml:space="preserve">Recommendations for ykrfzfkieu</w:t>
      </w:r>
    </w:p>
    <w:p>
      <w:pPr>
        <w:pStyle w:val="FirstParagraph"/>
      </w:pPr>
      <w:r>
        <w:t xml:space="preserve">To further reduce the product carbon footprint of</w:t>
      </w:r>
      <w:r>
        <w:t xml:space="preserve"> </w:t>
      </w:r>
      <w:r>
        <w:rPr>
          <w:bCs/>
          <w:b/>
        </w:rPr>
        <w:t xml:space="preserve">lqruqxwlxi</w:t>
      </w:r>
      <w:r>
        <w:t xml:space="preserve">,</w:t>
      </w:r>
      <w:r>
        <w:t xml:space="preserve"> </w:t>
      </w:r>
      <w:r>
        <w:rPr>
          <w:bCs/>
          <w:b/>
        </w:rPr>
        <w:t xml:space="preserve">ykrfzfkieu</w:t>
      </w:r>
      <w:r>
        <w:t xml:space="preserve"> </w:t>
      </w:r>
      <w:r>
        <w:t xml:space="preserve">should consider the following:</w:t>
      </w:r>
    </w:p>
    <w:p>
      <w:pPr>
        <w:numPr>
          <w:ilvl w:val="0"/>
          <w:numId w:val="1011"/>
        </w:numPr>
        <w:pStyle w:val="Compact"/>
      </w:pPr>
      <w:r>
        <w:rPr>
          <w:bCs/>
          <w:b/>
        </w:rPr>
        <w:t xml:space="preserve">Supply Chain Optimization:</w:t>
      </w:r>
      <w:r>
        <w:t xml:space="preserve"> </w:t>
      </w:r>
      <w:r>
        <w:t xml:space="preserve">Explore options to reduce transport distances, optimize logistics routes, and prioritize lower-emission transport modes for upstream materials and downstream distribution. Investigate local sourcing where feasible within the "Europe Focused" supply chain.</w:t>
      </w:r>
    </w:p>
    <w:p>
      <w:pPr>
        <w:numPr>
          <w:ilvl w:val="0"/>
          <w:numId w:val="1011"/>
        </w:numPr>
        <w:pStyle w:val="Compact"/>
      </w:pPr>
      <w:r>
        <w:rPr>
          <w:bCs/>
          <w:b/>
        </w:rPr>
        <w:t xml:space="preserve">Energy Efficiency in Use:</w:t>
      </w:r>
      <w:r>
        <w:t xml:space="preserve"> </w:t>
      </w:r>
      <w:r>
        <w:t xml:space="preserve">Focus on design improvements to reduce the energy consumption of</w:t>
      </w:r>
      <w:r>
        <w:t xml:space="preserve"> </w:t>
      </w:r>
      <w:r>
        <w:rPr>
          <w:bCs/>
          <w:b/>
        </w:rPr>
        <w:t xml:space="preserve">lqruqxwlxi</w:t>
      </w:r>
      <w:r>
        <w:t xml:space="preserve"> </w:t>
      </w:r>
      <w:r>
        <w:t xml:space="preserve">during its operational lifespan. This will directly impact the largest Scope 3 category.</w:t>
      </w:r>
    </w:p>
    <w:p>
      <w:pPr>
        <w:numPr>
          <w:ilvl w:val="0"/>
          <w:numId w:val="1011"/>
        </w:numPr>
        <w:pStyle w:val="Compact"/>
      </w:pPr>
      <w:r>
        <w:rPr>
          <w:bCs/>
          <w:b/>
        </w:rPr>
        <w:t xml:space="preserve">Material Decarbonization:</w:t>
      </w:r>
      <w:r>
        <w:t xml:space="preserve"> </w:t>
      </w:r>
      <w:r>
        <w:t xml:space="preserve">Engage with suppliers to source lower-carbon alternatives for high-impact materials, such as aluminum. Investigate recycled content for materials like plastics and metals.</w:t>
      </w:r>
    </w:p>
    <w:p>
      <w:pPr>
        <w:numPr>
          <w:ilvl w:val="0"/>
          <w:numId w:val="1011"/>
        </w:numPr>
        <w:pStyle w:val="Compact"/>
      </w:pPr>
      <w:r>
        <w:rPr>
          <w:bCs/>
          <w:b/>
        </w:rPr>
        <w:t xml:space="preserve">Enhance Circularity:</w:t>
      </w:r>
      <w:r>
        <w:t xml:space="preserve"> </w:t>
      </w:r>
      <w:r>
        <w:t xml:space="preserve">Leverage and expand "Circular/Take-back Programs" (</w:t>
      </w:r>
      <w:r>
        <w:rPr>
          <w:rStyle w:val="VerbatimChar"/>
        </w:rPr>
        <w:t xml:space="preserve">nxnujzwgvm</w:t>
      </w:r>
      <w:r>
        <w:t xml:space="preserve">) to maximize product reuse, refurbishment, and high-quality recycling, further mitigating end-of-life impacts.</w:t>
      </w:r>
    </w:p>
    <w:p>
      <w:pPr>
        <w:numPr>
          <w:ilvl w:val="0"/>
          <w:numId w:val="1011"/>
        </w:numPr>
        <w:pStyle w:val="Compact"/>
      </w:pPr>
      <w:r>
        <w:rPr>
          <w:bCs/>
          <w:b/>
        </w:rPr>
        <w:t xml:space="preserve">Data Granularity:</w:t>
      </w:r>
      <w:r>
        <w:t xml:space="preserve"> </w:t>
      </w:r>
      <w:r>
        <w:t xml:space="preserve">Continuously improve the collection of primary data from suppliers for emission factors related to purchased goods and services, and specific transport data. This will enhance the accuracy and robustness of future PCF analyses.</w:t>
      </w:r>
    </w:p>
    <w:p>
      <w:r>
        <w:pict>
          <v:rect style="width:0;height:1.5pt" o:hralign="center" o:hrstd="t" o:hr="t"/>
        </w:pict>
      </w:r>
    </w:p>
    <w:p>
      <w:pPr>
        <w:pStyle w:val="FirstParagraph"/>
      </w:pPr>
      <w:r>
        <w:t xml:space="preserve">Confidential - Internal Use Only | Generated Date: June 3, 2026</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lqruqxwlxi</dc:title>
  <dc:creator/>
  <dc:description>High-detail Product Carbon Footprint (PCF) analysis report for lqruqxwlxi, adhering to GHG Protocol standards and 2026 updates, prepared by Senior Sustainability Consultant whftoihhlf for ykrfzfkieu.</dc:description>
  <dc:language>en</dc:language>
  <cp:keywords/>
  <dcterms:created xsi:type="dcterms:W3CDTF">2026-07-15T07:08:42Z</dcterms:created>
  <dcterms:modified xsi:type="dcterms:W3CDTF">2026-07-15T07:08:42Z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