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lpjkvglpfu</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lpjkvglpfu</w:t>
      </w:r>
    </w:p>
    <w:p>
      <w:pPr>
        <w:pStyle w:val="BodyText"/>
      </w:pPr>
      <w:r>
        <w:rPr>
          <w:bCs/>
          <w:b/>
        </w:rPr>
        <w:t xml:space="preserve">Company:</w:t>
      </w:r>
      <w:r>
        <w:t xml:space="preserve"> </w:t>
      </w:r>
      <w:r>
        <w:t xml:space="preserve">erjlnzmhdw</w:t>
      </w:r>
    </w:p>
    <w:p>
      <w:pPr>
        <w:pStyle w:val="BodyText"/>
      </w:pPr>
      <w:r>
        <w:rPr>
          <w:bCs/>
          <w:b/>
        </w:rPr>
        <w:t xml:space="preserve">Senior Sustainability Consultant:</w:t>
      </w:r>
      <w:r>
        <w:t xml:space="preserve"> </w:t>
      </w:r>
      <w:r>
        <w:t xml:space="preserve">upmmiiykes</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industry standards, and the specific parameters provided. While efforts have been made to ensure accuracy, the results are indicative and subject to the quality and completeness of the input data and chosen emission factors.</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lpjkvglpfu</w:t>
      </w:r>
    </w:p>
    <w:p>
      <w:pPr>
        <w:pStyle w:val="BodyText"/>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lpjkvglpfu</w:t>
      </w:r>
      <w:r>
        <w:t xml:space="preserve"> </w:t>
      </w:r>
      <w:r>
        <w:t xml:space="preserve">manufactured by</w:t>
      </w:r>
      <w:r>
        <w:t xml:space="preserve"> </w:t>
      </w:r>
      <w:r>
        <w:rPr>
          <w:bCs/>
          <w:b/>
        </w:rPr>
        <w:t xml:space="preserve">erjlnzmhdw</w:t>
      </w:r>
      <w:r>
        <w:t xml:space="preserve">. Conducted by Senior Sustainability Consultant</w:t>
      </w:r>
      <w:r>
        <w:t xml:space="preserve"> </w:t>
      </w:r>
      <w:r>
        <w:rPr>
          <w:bCs/>
          <w:b/>
        </w:rPr>
        <w:t xml:space="preserve">upmmiiykes</w:t>
      </w:r>
      <w:r>
        <w:t xml:space="preserve">, this analysis adheres strictly to the GHG Protocol and incorporates the latest 2026 Land Sector and Removals (LSR) Standard updates, ensuring robust Scope 3 compliance with at least 95% coverage. The assessment covers the full lifecycle from raw material acquisition through manufacturing, transport, use, and end-of-life, providing insights into emission hotspots and opportunities for reduction.</w:t>
      </w:r>
    </w:p>
    <w:p>
      <w:r>
        <w:pict>
          <v:rect style="width:0;height:1.5pt" o:hralign="center" o:hrstd="t" o:hr="t"/>
        </w:pict>
      </w:r>
    </w:p>
    <w:bookmarkEnd w:id="22"/>
    <w:bookmarkStart w:id="24" w:name="methodology"/>
    <w:p>
      <w:pPr>
        <w:pStyle w:val="Heading2"/>
      </w:pPr>
      <w:r>
        <w:t xml:space="preserve">Methodology</w:t>
      </w:r>
    </w:p>
    <w:p>
      <w:pPr>
        <w:pStyle w:val="FirstParagraph"/>
      </w:pPr>
      <w:r>
        <w:t xml:space="preserve">The Product Carbon Footprint (PCF) analysis for lpjkvglpfu follows a systematic five-step methodology in accordance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 for the product.</w:t>
      </w:r>
    </w:p>
    <w:p>
      <w:pPr>
        <w:numPr>
          <w:ilvl w:val="0"/>
          <w:numId w:val="1001"/>
        </w:numPr>
        <w:pStyle w:val="Compact"/>
      </w:pPr>
      <w:r>
        <w:rPr>
          <w:bCs/>
          <w:b/>
        </w:rPr>
        <w:t xml:space="preserve">Map Lifecycle (LCI Inventory Stages):</w:t>
      </w:r>
      <w:r>
        <w:t xml:space="preserve"> </w:t>
      </w:r>
      <w:r>
        <w:t xml:space="preserve">Identify all relevant processes and stages within the product\'s lifecycle that contribute to its carbon footprint.</w:t>
      </w:r>
    </w:p>
    <w:p>
      <w:pPr>
        <w:numPr>
          <w:ilvl w:val="0"/>
          <w:numId w:val="1001"/>
        </w:numPr>
        <w:pStyle w:val="Compact"/>
      </w:pPr>
      <w:r>
        <w:rPr>
          <w:bCs/>
          <w:b/>
        </w:rPr>
        <w:t xml:space="preserve">Collect Data:</w:t>
      </w:r>
      <w:r>
        <w:t xml:space="preserve"> </w:t>
      </w:r>
      <w:r>
        <w:t xml:space="preserve">Gather primary data specific to erjlnzmhdw\'s operations and secondary data from reputable databases for generic processes and emission factors.</w:t>
      </w:r>
    </w:p>
    <w:p>
      <w:pPr>
        <w:numPr>
          <w:ilvl w:val="0"/>
          <w:numId w:val="1001"/>
        </w:numPr>
        <w:pStyle w:val="Compact"/>
      </w:pPr>
      <w:r>
        <w:rPr>
          <w:bCs/>
          <w:b/>
        </w:rPr>
        <w:t xml:space="preserve">Calculate Emissions:</w:t>
      </w:r>
      <w:r>
        <w:t xml:space="preserve"> </w:t>
      </w:r>
      <w:r>
        <w:t xml:space="preserve">Quantify greenhouse gas emissions for each lifecycle stage by multiplying activity data by appropriate emission factors, expressed in CO2e.</w:t>
      </w:r>
    </w:p>
    <w:p>
      <w:pPr>
        <w:numPr>
          <w:ilvl w:val="0"/>
          <w:numId w:val="1001"/>
        </w:numPr>
        <w:pStyle w:val="Compact"/>
      </w:pPr>
      <w:r>
        <w:rPr>
          <w:bCs/>
          <w:b/>
        </w:rPr>
        <w:t xml:space="preserve">Review &amp; Report:</w:t>
      </w:r>
      <w:r>
        <w:t xml:space="preserve"> </w:t>
      </w:r>
      <w:r>
        <w:t xml:space="preserve">Analyze the results to identify emission hotspots, assess data reliability, and present findings in a clear and actionable report.</w:t>
      </w:r>
    </w:p>
    <w:bookmarkStart w:id="23" w:name="key-methodological-principles"/>
    <w:p>
      <w:pPr>
        <w:pStyle w:val="Heading3"/>
      </w:pPr>
      <w:r>
        <w:t xml:space="preserve">Key Methodological Principles:</w:t>
      </w:r>
    </w:p>
    <w:p>
      <w:pPr>
        <w:numPr>
          <w:ilvl w:val="0"/>
          <w:numId w:val="1002"/>
        </w:numPr>
        <w:pStyle w:val="Compact"/>
      </w:pPr>
      <w:r>
        <w:rPr>
          <w:bCs/>
          <w:b/>
        </w:rPr>
        <w:t xml:space="preserve">Adherence to GHG Protocol:</w:t>
      </w:r>
      <w:r>
        <w:t xml:space="preserve"> </w:t>
      </w:r>
      <w:r>
        <w:t xml:space="preserve">All emissions are categorized into Scope 1 (direct emissions from owned or controlled sources), Scope 2 (indirect emissions from the generation of purchased energy), and Scope 3 (all other indirect emissions that occur in the value chain).</w:t>
      </w:r>
    </w:p>
    <w:p>
      <w:pPr>
        <w:numPr>
          <w:ilvl w:val="0"/>
          <w:numId w:val="1002"/>
        </w:numPr>
        <w:pStyle w:val="Compact"/>
      </w:pPr>
      <w:r>
        <w:rPr>
          <w:bCs/>
          <w:b/>
        </w:rPr>
        <w:t xml:space="preserve">2026 LSR Update:</w:t>
      </w:r>
      <w:r>
        <w:t xml:space="preserve"> </w:t>
      </w:r>
      <w:r>
        <w:t xml:space="preserve">The Land Sector and Removals (LSR) Standard has been applied for accounting for land use and carbon removals.</w:t>
      </w:r>
    </w:p>
    <w:p>
      <w:pPr>
        <w:numPr>
          <w:ilvl w:val="0"/>
          <w:numId w:val="1002"/>
        </w:numPr>
        <w:pStyle w:val="Compact"/>
      </w:pPr>
      <w:r>
        <w:rPr>
          <w:bCs/>
          <w:b/>
        </w:rPr>
        <w:t xml:space="preserve">Scope 3 Compliance:</w:t>
      </w:r>
      <w:r>
        <w:t xml:space="preserve"> </w:t>
      </w:r>
      <w:r>
        <w:t xml:space="preserve">Rigorous data collection and estimation ensure at least 95% coverage for Scope 3 reporting, meeting 2026 requirements for comprehensive value chain transparency.</w:t>
      </w:r>
    </w:p>
    <w:p>
      <w:r>
        <w:pict>
          <v:rect style="width:0;height:1.5pt" o:hralign="center" o:hrstd="t" o:hr="t"/>
        </w:pict>
      </w:r>
    </w:p>
    <w:bookmarkEnd w:id="23"/>
    <w:bookmarkEnd w:id="24"/>
    <w:bookmarkStart w:id="39" w:name="detailed-pcf-analysis-for-lpjkvglpfu"/>
    <w:p>
      <w:pPr>
        <w:pStyle w:val="Heading2"/>
      </w:pPr>
      <w:r>
        <w:t xml:space="preserve">Detailed PCF Analysis for lpjkvglpfu</w:t>
      </w:r>
    </w:p>
    <w:bookmarkStart w:id="25" w:name="define-scope"/>
    <w:p>
      <w:pPr>
        <w:pStyle w:val="Heading3"/>
      </w:pPr>
      <w:r>
        <w:t xml:space="preserve">1. Define Scope</w:t>
      </w:r>
    </w:p>
    <w:p>
      <w:pPr>
        <w:numPr>
          <w:ilvl w:val="0"/>
          <w:numId w:val="1003"/>
        </w:numPr>
        <w:pStyle w:val="Compact"/>
      </w:pPr>
      <w:r>
        <w:rPr>
          <w:bCs/>
          <w:b/>
        </w:rPr>
        <w:t xml:space="preserve">Functional Unit:</w:t>
      </w:r>
      <w:r>
        <w:t xml:space="preserve"> </w:t>
      </w:r>
      <w:r>
        <w:t xml:space="preserve">1.0 unit of lpjkvglpfu</w:t>
      </w:r>
    </w:p>
    <w:p>
      <w:pPr>
        <w:numPr>
          <w:ilvl w:val="0"/>
          <w:numId w:val="1003"/>
        </w:numPr>
        <w:pStyle w:val="Compact"/>
      </w:pPr>
      <w:r>
        <w:rPr>
          <w:bCs/>
          <w:b/>
        </w:rPr>
        <w:t xml:space="preserve">System Boundary:</w:t>
      </w:r>
      <w:r>
        <w:t xml:space="preserve"> </w:t>
      </w:r>
      <w:r>
        <w:t xml:space="preserve">factory_gate (cradle-to-gate with downstream use and end-of-life considerations for comprehensive analysis)</w:t>
      </w:r>
    </w:p>
    <w:p>
      <w:pPr>
        <w:numPr>
          <w:ilvl w:val="0"/>
          <w:numId w:val="1003"/>
        </w:numPr>
        <w:pStyle w:val="Compact"/>
      </w:pPr>
      <w:r>
        <w:rPr>
          <w:bCs/>
          <w:b/>
        </w:rPr>
        <w:t xml:space="preserve">Geographic Scope:</w:t>
      </w:r>
      <w:r>
        <w:t xml:space="preserve"> </w:t>
      </w:r>
      <w:r>
        <w:t xml:space="preserve">Final Production Country: China, Supply Chain Focus: Europe Focused</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Allocation:</w:t>
      </w:r>
      <w:r>
        <w:t xml:space="preserve"> </w:t>
      </w:r>
      <w:r>
        <w:t xml:space="preserve">Mass-based allocation is applied where co-production occurs, ensuring fair distribution of environmental burdens.</w:t>
      </w:r>
    </w:p>
    <w:bookmarkEnd w:id="25"/>
    <w:bookmarkStart w:id="31" w:name="X668a29dea6996859d52024a913312988ccfa3c9"/>
    <w:p>
      <w:pPr>
        <w:pStyle w:val="Heading3"/>
      </w:pPr>
      <w:r>
        <w:t xml:space="preserve">2. Map Lifecycle (LCI Inventory Stages) &amp; 3. Collect Data</w:t>
      </w:r>
    </w:p>
    <w:p>
      <w:pPr>
        <w:pStyle w:val="FirstParagraph"/>
      </w:pPr>
      <w:r>
        <w:t xml:space="preserve">The lifecycle mapping for lpjkvglpfu includes raw material extraction, manufacturing, transport to customer, the product\'s use phase, and its end-of-life management.</w:t>
      </w:r>
    </w:p>
    <w:bookmarkStart w:id="26" w:name="X982c326fb93613d4d5b2ea0769a7e370cfc78fa"/>
    <w:p>
      <w:pPr>
        <w:pStyle w:val="Heading4"/>
      </w:pPr>
      <w:r>
        <w:t xml:space="preserve">Detailed Bill of Materials (BOM) &amp; Material Inputs:</w:t>
      </w:r>
    </w:p>
    <w:p>
      <w:pPr>
        <w:pStyle w:val="FirstParagraph"/>
      </w:pPr>
      <w:r>
        <w:t xml:space="preserve">The following table details the Bill of Materials (BOM) for lpjkvglpfu, including quantity, unit, emission factor, and the total carbon impact for each component as provided. These explicit values are used for high-accuracy material impact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 kg CO2e/kg</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10 kg CO2e/unit</w:t>
            </w:r>
          </w:p>
        </w:tc>
        <w:tc>
          <w:tcPr/>
          <w:p>
            <w:pPr>
              <w:pStyle w:val="Compact"/>
              <w:jc w:val="left"/>
            </w:pPr>
            <w:r>
              <w:t xml:space="preserve">10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 kg CO2e/kg</w:t>
            </w:r>
          </w:p>
        </w:tc>
        <w:tc>
          <w:tcPr/>
          <w:p>
            <w:pPr>
              <w:pStyle w:val="Compact"/>
              <w:jc w:val="left"/>
            </w:pPr>
            <w:r>
              <w:t xml:space="preserve">0.8</w:t>
            </w:r>
          </w:p>
        </w:tc>
      </w:tr>
      <w:tr>
        <w:tc>
          <w:tcPr/>
          <w:p>
            <w:pPr>
              <w:pStyle w:val="Compact"/>
              <w:jc w:val="left"/>
            </w:pPr>
            <w:r>
              <w:t xml:space="preserve">4</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 kg CO2e/kg</w:t>
            </w:r>
          </w:p>
        </w:tc>
        <w:tc>
          <w:tcPr/>
          <w:p>
            <w:pPr>
              <w:pStyle w:val="Compact"/>
              <w:jc w:val="left"/>
            </w:pPr>
            <w:r>
              <w:t xml:space="preserve">0.03</w:t>
            </w:r>
          </w:p>
        </w:tc>
      </w:tr>
    </w:tbl>
    <w:bookmarkEnd w:id="26"/>
    <w:bookmarkStart w:id="27" w:name="energy-inputs-for-production"/>
    <w:p>
      <w:pPr>
        <w:pStyle w:val="Heading4"/>
      </w:pPr>
      <w:r>
        <w:t xml:space="preserve">Energy Inputs for Production:</w:t>
      </w:r>
    </w:p>
    <w:p>
      <w:pPr>
        <w:numPr>
          <w:ilvl w:val="0"/>
          <w:numId w:val="1004"/>
        </w:numPr>
        <w:pStyle w:val="Compact"/>
      </w:pPr>
      <w:r>
        <w:rPr>
          <w:bCs/>
          <w:b/>
        </w:rPr>
        <w:t xml:space="preserve">Energy Intensity (kWh/unit):</w:t>
      </w:r>
      <w:r>
        <w:t xml:space="preserve"> </w:t>
      </w:r>
      <w:r>
        <w:t xml:space="preserve">5 kWh/unit</w:t>
      </w:r>
    </w:p>
    <w:p>
      <w:pPr>
        <w:numPr>
          <w:ilvl w:val="0"/>
          <w:numId w:val="1004"/>
        </w:numPr>
        <w:pStyle w:val="Compact"/>
      </w:pPr>
      <w:r>
        <w:rPr>
          <w:bCs/>
          <w:b/>
        </w:rPr>
        <w:t xml:space="preserve">Renewable Energy Usage:</w:t>
      </w:r>
      <w:r>
        <w:t xml:space="preserve"> </w:t>
      </w:r>
      <w:r>
        <w:t xml:space="preserve">50%</w:t>
      </w:r>
    </w:p>
    <w:p>
      <w:pPr>
        <w:numPr>
          <w:ilvl w:val="0"/>
          <w:numId w:val="1004"/>
        </w:numPr>
        <w:pStyle w:val="Compact"/>
      </w:pPr>
      <w:r>
        <w:rPr>
          <w:bCs/>
          <w:b/>
        </w:rPr>
        <w:t xml:space="preserve">Non-Renewable Energy Usage:</w:t>
      </w:r>
      <w:r>
        <w:t xml:space="preserve"> </w:t>
      </w:r>
      <w:r>
        <w:t xml:space="preserve">50%</w:t>
      </w:r>
    </w:p>
    <w:p>
      <w:pPr>
        <w:numPr>
          <w:ilvl w:val="0"/>
          <w:numId w:val="1004"/>
        </w:numPr>
        <w:pStyle w:val="Compact"/>
      </w:pPr>
      <w:r>
        <w:rPr>
          <w:iCs/>
          <w:i/>
        </w:rPr>
        <w:t xml:space="preserve">Assumed Grid Emission Factor (China):</w:t>
      </w:r>
      <w:r>
        <w:t xml:space="preserve"> </w:t>
      </w:r>
      <w:r>
        <w:t xml:space="preserve">0.6 kg CO2e/kWh (Indicative, based on IEA 2023 data)</w:t>
      </w:r>
    </w:p>
    <w:p>
      <w:pPr>
        <w:numPr>
          <w:ilvl w:val="0"/>
          <w:numId w:val="1004"/>
        </w:numPr>
        <w:pStyle w:val="Compact"/>
      </w:pPr>
      <w:r>
        <w:rPr>
          <w:iCs/>
          <w:i/>
        </w:rPr>
        <w:t xml:space="preserve">Assumed Renewable Energy Emission Factor:</w:t>
      </w:r>
      <w:r>
        <w:t xml:space="preserve"> </w:t>
      </w:r>
      <w:r>
        <w:t xml:space="preserve">0.01 kg CO2e/kWh (for residual emissions)</w:t>
      </w:r>
    </w:p>
    <w:bookmarkEnd w:id="27"/>
    <w:bookmarkStart w:id="28" w:name="logistics-data"/>
    <w:p>
      <w:pPr>
        <w:pStyle w:val="Heading4"/>
      </w:pPr>
      <w:r>
        <w:t xml:space="preserve">Logistics Data:</w:t>
      </w:r>
    </w:p>
    <w:p>
      <w:pPr>
        <w:numPr>
          <w:ilvl w:val="0"/>
          <w:numId w:val="1005"/>
        </w:numPr>
        <w:pStyle w:val="Compact"/>
      </w:pPr>
      <w:r>
        <w:rPr>
          <w:bCs/>
          <w:b/>
        </w:rPr>
        <w:t xml:space="preserve">Primary Transport Mode:</w:t>
      </w:r>
      <w:r>
        <w:t xml:space="preserve"> </w:t>
      </w:r>
      <w:r>
        <w:t xml:space="preserve">Road Freight (HGV)</w:t>
      </w:r>
    </w:p>
    <w:p>
      <w:pPr>
        <w:numPr>
          <w:ilvl w:val="0"/>
          <w:numId w:val="1005"/>
        </w:numPr>
        <w:pStyle w:val="Compact"/>
      </w:pPr>
      <w:r>
        <w:rPr>
          <w:bCs/>
          <w:b/>
        </w:rPr>
        <w:t xml:space="preserve">Transport Distance:</w:t>
      </w:r>
      <w:r>
        <w:t xml:space="preserve"> </w:t>
      </w:r>
      <w:r>
        <w:t xml:space="preserve">1500 km</w:t>
      </w:r>
    </w:p>
    <w:p>
      <w:pPr>
        <w:numPr>
          <w:ilvl w:val="0"/>
          <w:numId w:val="1005"/>
        </w:numPr>
        <w:pStyle w:val="Compact"/>
      </w:pPr>
      <w:r>
        <w:rPr>
          <w:bCs/>
          <w:b/>
        </w:rPr>
        <w:t xml:space="preserve">Last-Mile Delivery Channel:</w:t>
      </w:r>
      <w:r>
        <w:t xml:space="preserve"> </w:t>
      </w:r>
      <w:r>
        <w:t xml:space="preserve">Parcel Courier</w:t>
      </w:r>
    </w:p>
    <w:p>
      <w:pPr>
        <w:numPr>
          <w:ilvl w:val="0"/>
          <w:numId w:val="1005"/>
        </w:numPr>
        <w:pStyle w:val="Compact"/>
      </w:pPr>
      <w:r>
        <w:rPr>
          <w:iCs/>
          <w:i/>
        </w:rPr>
        <w:t xml:space="preserve">Assumed HGV Emission Factor:</w:t>
      </w:r>
      <w:r>
        <w:t xml:space="preserve"> </w:t>
      </w:r>
      <w:r>
        <w:t xml:space="preserve">0.08 kg CO2e/unit-100km (Indicative, based on DEFRA 2023 for general cargo)</w:t>
      </w:r>
    </w:p>
    <w:p>
      <w:pPr>
        <w:numPr>
          <w:ilvl w:val="0"/>
          <w:numId w:val="1005"/>
        </w:numPr>
        <w:pStyle w:val="Compact"/>
      </w:pPr>
      <w:r>
        <w:rPr>
          <w:iCs/>
          <w:i/>
        </w:rPr>
        <w:t xml:space="preserve">Assumed Parcel Courier Emission Factor:</w:t>
      </w:r>
      <w:r>
        <w:t xml:space="preserve"> </w:t>
      </w:r>
      <w:r>
        <w:t xml:space="preserve">0.5 kg CO2e/package (Indicative, for a typical light package)</w:t>
      </w:r>
    </w:p>
    <w:bookmarkEnd w:id="28"/>
    <w:bookmarkStart w:id="29" w:name="use-phase-data"/>
    <w:p>
      <w:pPr>
        <w:pStyle w:val="Heading4"/>
      </w:pPr>
      <w:r>
        <w:t xml:space="preserve">Use Phase Data:</w:t>
      </w:r>
    </w:p>
    <w:p>
      <w:pPr>
        <w:numPr>
          <w:ilvl w:val="0"/>
          <w:numId w:val="1006"/>
        </w:numPr>
        <w:pStyle w:val="Compact"/>
      </w:pPr>
      <w:r>
        <w:rPr>
          <w:bCs/>
          <w:b/>
        </w:rPr>
        <w:t xml:space="preserve">Product Lifespan:</w:t>
      </w:r>
      <w:r>
        <w:t xml:space="preserve"> </w:t>
      </w:r>
      <w:r>
        <w:t xml:space="preserve">3 years</w:t>
      </w:r>
    </w:p>
    <w:p>
      <w:pPr>
        <w:numPr>
          <w:ilvl w:val="0"/>
          <w:numId w:val="1006"/>
        </w:numPr>
        <w:pStyle w:val="Compact"/>
      </w:pPr>
      <w:r>
        <w:rPr>
          <w:bCs/>
          <w:b/>
        </w:rPr>
        <w:t xml:space="preserve">Energy Consumption in Use:</w:t>
      </w:r>
      <w:r>
        <w:t xml:space="preserve"> </w:t>
      </w:r>
      <w:r>
        <w:t xml:space="preserve">10 kWh/year</w:t>
      </w:r>
    </w:p>
    <w:p>
      <w:pPr>
        <w:numPr>
          <w:ilvl w:val="0"/>
          <w:numId w:val="1006"/>
        </w:numPr>
        <w:pStyle w:val="Compact"/>
      </w:pPr>
      <w:r>
        <w:rPr>
          <w:iCs/>
          <w:i/>
        </w:rPr>
        <w:t xml:space="preserve">Assumed Grid Emission Factor (User Location, Europe Focused):</w:t>
      </w:r>
      <w:r>
        <w:t xml:space="preserve"> </w:t>
      </w:r>
      <w:r>
        <w:t xml:space="preserve">0.3 kg CO2e/kWh (Indicative, European average mix)</w:t>
      </w:r>
    </w:p>
    <w:bookmarkEnd w:id="29"/>
    <w:bookmarkStart w:id="30" w:name="end-of-life-eol-scenarios"/>
    <w:p>
      <w:pPr>
        <w:pStyle w:val="Heading4"/>
      </w:pPr>
      <w:r>
        <w:t xml:space="preserve">End-of-Life (EoL) Scenarios:</w:t>
      </w:r>
    </w:p>
    <w:p>
      <w:pPr>
        <w:numPr>
          <w:ilvl w:val="0"/>
          <w:numId w:val="1007"/>
        </w:numPr>
        <w:pStyle w:val="Compact"/>
      </w:pPr>
      <w:r>
        <w:rPr>
          <w:bCs/>
          <w:b/>
        </w:rPr>
        <w:t xml:space="preserve">Recyclability Percentage:</w:t>
      </w:r>
      <w:r>
        <w:t xml:space="preserve"> </w:t>
      </w:r>
      <w:r>
        <w:t xml:space="preserve">80%</w:t>
      </w:r>
    </w:p>
    <w:p>
      <w:pPr>
        <w:numPr>
          <w:ilvl w:val="0"/>
          <w:numId w:val="1007"/>
        </w:numPr>
        <w:pStyle w:val="Compact"/>
      </w:pPr>
      <w:r>
        <w:rPr>
          <w:bCs/>
          <w:b/>
        </w:rPr>
        <w:t xml:space="preserve">Circular/Take-back Programs:</w:t>
      </w:r>
      <w:r>
        <w:t xml:space="preserve"> </w:t>
      </w:r>
      <w:r>
        <w:t xml:space="preserve">Company-sponsored take-back program available in key markets</w:t>
      </w:r>
    </w:p>
    <w:p>
      <w:pPr>
        <w:numPr>
          <w:ilvl w:val="0"/>
          <w:numId w:val="1007"/>
        </w:numPr>
        <w:pStyle w:val="Compact"/>
      </w:pPr>
      <w:r>
        <w:rPr>
          <w:iCs/>
          <w:i/>
        </w:rPr>
        <w:t xml:space="preserve">Assumed Waste-to-Landfill/Incineration Emission Factor:</w:t>
      </w:r>
      <w:r>
        <w:t xml:space="preserve"> </w:t>
      </w:r>
      <w:r>
        <w:t xml:space="preserve">1.5 kg CO2e/kg (for unrecyclable components)</w:t>
      </w:r>
    </w:p>
    <w:p>
      <w:pPr>
        <w:numPr>
          <w:ilvl w:val="0"/>
          <w:numId w:val="1007"/>
        </w:numPr>
        <w:pStyle w:val="Compact"/>
      </w:pPr>
      <w:r>
        <w:rPr>
          <w:iCs/>
          <w:i/>
        </w:rPr>
        <w:t xml:space="preserve">Total Product Weight (approx. from BOM):</w:t>
      </w:r>
      <w:r>
        <w:t xml:space="preserve"> </w:t>
      </w:r>
      <w:r>
        <w:t xml:space="preserve">0.5 + 1 + 0.1 + 0.02 = 1.62 kg. For EoL calculations, we will use this total.</w:t>
      </w:r>
    </w:p>
    <w:p>
      <w:r>
        <w:pict>
          <v:rect style="width:0;height:1.5pt" o:hralign="center" o:hrstd="t" o:hr="t"/>
        </w:pict>
      </w:r>
    </w:p>
    <w:bookmarkEnd w:id="30"/>
    <w:bookmarkEnd w:id="31"/>
    <w:bookmarkStart w:id="34" w:name="calculate-emissions"/>
    <w:p>
      <w:pPr>
        <w:pStyle w:val="Heading3"/>
      </w:pPr>
      <w:r>
        <w:t xml:space="preserve">4. Calculate Emissions</w:t>
      </w:r>
    </w:p>
    <w:p>
      <w:pPr>
        <w:pStyle w:val="FirstParagraph"/>
      </w:pPr>
      <w:r>
        <w:t xml:space="preserve">Emissions are calculated for each lifecycle stage and categorized according to the GHG Protocol. All calculations use industry-standard emission factors from sources such as Ecoinvent and DEFRA where specific factors were not provided in the BOM.</w:t>
      </w:r>
    </w:p>
    <w:bookmarkStart w:id="32" w:name="calculations"/>
    <w:p>
      <w:pPr>
        <w:pStyle w:val="Heading4"/>
      </w:pPr>
      <w:r>
        <w:t xml:space="preserve">Calculations:</w:t>
      </w:r>
    </w:p>
    <w:p>
      <w:pPr>
        <w:numPr>
          <w:ilvl w:val="0"/>
          <w:numId w:val="1008"/>
        </w:numPr>
        <w:pStyle w:val="Compact"/>
      </w:pPr>
      <w:r>
        <w:rPr>
          <w:bCs/>
          <w:b/>
        </w:rPr>
        <w:t xml:space="preserve">1. Materials (Scope 3 - Upstream):</w:t>
      </w:r>
    </w:p>
    <w:p>
      <w:pPr>
        <w:numPr>
          <w:ilvl w:val="1"/>
          <w:numId w:val="1009"/>
        </w:numPr>
        <w:pStyle w:val="Compact"/>
      </w:pPr>
      <w:r>
        <w:t xml:space="preserve">Aluminum Casing: 1.25 kg CO2e</w:t>
      </w:r>
    </w:p>
    <w:p>
      <w:pPr>
        <w:numPr>
          <w:ilvl w:val="1"/>
          <w:numId w:val="1009"/>
        </w:numPr>
        <w:pStyle w:val="Compact"/>
      </w:pPr>
      <w:r>
        <w:t xml:space="preserve">Circuit Board (PCB): 10 kg CO2e</w:t>
      </w:r>
    </w:p>
    <w:p>
      <w:pPr>
        <w:numPr>
          <w:ilvl w:val="1"/>
          <w:numId w:val="1009"/>
        </w:numPr>
        <w:pStyle w:val="Compact"/>
      </w:pPr>
      <w:r>
        <w:t xml:space="preserve">Lithium-ion Battery: 0.8 kg CO2e</w:t>
      </w:r>
    </w:p>
    <w:p>
      <w:pPr>
        <w:numPr>
          <w:ilvl w:val="1"/>
          <w:numId w:val="1009"/>
        </w:numPr>
        <w:pStyle w:val="Compact"/>
      </w:pPr>
      <w:r>
        <w:t xml:space="preserve">Plastic Components: 0.03 kg CO2e</w:t>
      </w:r>
    </w:p>
    <w:p>
      <w:pPr>
        <w:numPr>
          <w:ilvl w:val="1"/>
          <w:numId w:val="1009"/>
        </w:numPr>
        <w:pStyle w:val="Compact"/>
      </w:pPr>
      <w:r>
        <w:rPr>
          <w:bCs/>
          <w:b/>
        </w:rPr>
        <w:t xml:space="preserve">Total Material Impact: 12.08 kg CO2e</w:t>
      </w:r>
    </w:p>
    <w:p>
      <w:pPr>
        <w:numPr>
          <w:ilvl w:val="0"/>
          <w:numId w:val="1008"/>
        </w:numPr>
        <w:pStyle w:val="Compact"/>
      </w:pPr>
      <w:r>
        <w:rPr>
          <w:bCs/>
          <w:b/>
        </w:rPr>
        <w:t xml:space="preserve">2. Manufacturing Energy (Scope 3 - Upstream, Purchased Electricity):</w:t>
      </w:r>
    </w:p>
    <w:p>
      <w:pPr>
        <w:numPr>
          <w:ilvl w:val="1"/>
          <w:numId w:val="1010"/>
        </w:numPr>
        <w:pStyle w:val="Compact"/>
      </w:pPr>
      <w:r>
        <w:t xml:space="preserve">Total Energy Intensity: 5 kWh/unit</w:t>
      </w:r>
    </w:p>
    <w:p>
      <w:pPr>
        <w:numPr>
          <w:ilvl w:val="1"/>
          <w:numId w:val="1010"/>
        </w:numPr>
        <w:pStyle w:val="Compact"/>
      </w:pPr>
      <w:r>
        <w:t xml:space="preserve">Non-Renewable Energy: 5 kWh * 50% = 2.5 kWh</w:t>
      </w:r>
    </w:p>
    <w:p>
      <w:pPr>
        <w:numPr>
          <w:ilvl w:val="1"/>
          <w:numId w:val="1010"/>
        </w:numPr>
        <w:pStyle w:val="Compact"/>
      </w:pPr>
      <w:r>
        <w:t xml:space="preserve">Renewable Energy: 5 kWh * 50% = 2.5 kWh</w:t>
      </w:r>
    </w:p>
    <w:p>
      <w:pPr>
        <w:numPr>
          <w:ilvl w:val="1"/>
          <w:numId w:val="1010"/>
        </w:numPr>
        <w:pStyle w:val="Compact"/>
      </w:pPr>
      <w:r>
        <w:t xml:space="preserve">Emissions from Non-Renewable: 2.5 kWh * 0.6 kg CO2e/kWh = 1.5 kg CO2e</w:t>
      </w:r>
    </w:p>
    <w:p>
      <w:pPr>
        <w:numPr>
          <w:ilvl w:val="1"/>
          <w:numId w:val="1010"/>
        </w:numPr>
        <w:pStyle w:val="Compact"/>
      </w:pPr>
      <w:r>
        <w:t xml:space="preserve">Emissions from Renewable: 2.5 kWh * 0.01 kg CO2e/kWh = 0.025 kg CO2e</w:t>
      </w:r>
    </w:p>
    <w:p>
      <w:pPr>
        <w:numPr>
          <w:ilvl w:val="1"/>
          <w:numId w:val="1010"/>
        </w:numPr>
        <w:pStyle w:val="Compact"/>
      </w:pPr>
      <w:r>
        <w:rPr>
          <w:bCs/>
          <w:b/>
        </w:rPr>
        <w:t xml:space="preserve">Total Manufacturing Energy Impact: 1.525 kg CO2e</w:t>
      </w:r>
    </w:p>
    <w:p>
      <w:pPr>
        <w:numPr>
          <w:ilvl w:val="0"/>
          <w:numId w:val="1008"/>
        </w:numPr>
        <w:pStyle w:val="Compact"/>
      </w:pPr>
      <w:r>
        <w:rPr>
          <w:bCs/>
          <w:b/>
        </w:rPr>
        <w:t xml:space="preserve">3. Transport (Scope 3 - Upstream):</w:t>
      </w:r>
    </w:p>
    <w:p>
      <w:pPr>
        <w:numPr>
          <w:ilvl w:val="1"/>
          <w:numId w:val="1011"/>
        </w:numPr>
        <w:pStyle w:val="Compact"/>
      </w:pPr>
      <w:r>
        <w:t xml:space="preserve">Main Transport (Road Freight HGV): (1500 km / 100 km) * 0.08 kg CO2e/unit-100km = 1.5 kg CO2e</w:t>
      </w:r>
    </w:p>
    <w:p>
      <w:pPr>
        <w:numPr>
          <w:ilvl w:val="1"/>
          <w:numId w:val="1011"/>
        </w:numPr>
        <w:pStyle w:val="Compact"/>
      </w:pPr>
      <w:r>
        <w:t xml:space="preserve">Last-Mile Delivery (Parcel Courier): 0.5 kg CO2e</w:t>
      </w:r>
    </w:p>
    <w:p>
      <w:pPr>
        <w:numPr>
          <w:ilvl w:val="1"/>
          <w:numId w:val="1011"/>
        </w:numPr>
        <w:pStyle w:val="Compact"/>
      </w:pPr>
      <w:r>
        <w:rPr>
          <w:bCs/>
          <w:b/>
        </w:rPr>
        <w:t xml:space="preserve">Total Transport Impact: 2.0 kg CO2e</w:t>
      </w:r>
    </w:p>
    <w:p>
      <w:pPr>
        <w:numPr>
          <w:ilvl w:val="0"/>
          <w:numId w:val="1008"/>
        </w:numPr>
        <w:pStyle w:val="Compact"/>
      </w:pPr>
      <w:r>
        <w:rPr>
          <w:bCs/>
          <w:b/>
        </w:rPr>
        <w:t xml:space="preserve">4. Use Phase (Scope 3 - Downstream):</w:t>
      </w:r>
    </w:p>
    <w:p>
      <w:pPr>
        <w:numPr>
          <w:ilvl w:val="1"/>
          <w:numId w:val="1012"/>
        </w:numPr>
        <w:pStyle w:val="Compact"/>
      </w:pPr>
      <w:r>
        <w:t xml:space="preserve">Energy Consumption: 10 kWh/year * 3 years = 30 kWh</w:t>
      </w:r>
    </w:p>
    <w:p>
      <w:pPr>
        <w:numPr>
          <w:ilvl w:val="1"/>
          <w:numId w:val="1012"/>
        </w:numPr>
        <w:pStyle w:val="Compact"/>
      </w:pPr>
      <w:r>
        <w:t xml:space="preserve">Emissions: 30 kWh * 0.3 kg CO2e/kWh = 9.0 kg CO2e</w:t>
      </w:r>
    </w:p>
    <w:p>
      <w:pPr>
        <w:numPr>
          <w:ilvl w:val="1"/>
          <w:numId w:val="1012"/>
        </w:numPr>
        <w:pStyle w:val="Compact"/>
      </w:pPr>
      <w:r>
        <w:rPr>
          <w:bCs/>
          <w:b/>
        </w:rPr>
        <w:t xml:space="preserve">Total Use Phase Impact: 9.0 kg CO2e</w:t>
      </w:r>
    </w:p>
    <w:p>
      <w:pPr>
        <w:numPr>
          <w:ilvl w:val="0"/>
          <w:numId w:val="1008"/>
        </w:numPr>
        <w:pStyle w:val="Compact"/>
      </w:pPr>
      <w:r>
        <w:rPr>
          <w:bCs/>
          <w:b/>
        </w:rPr>
        <w:t xml:space="preserve">5. End-of-Life (EoL) (Scope 3 - Downstream):</w:t>
      </w:r>
    </w:p>
    <w:p>
      <w:pPr>
        <w:numPr>
          <w:ilvl w:val="1"/>
          <w:numId w:val="1013"/>
        </w:numPr>
        <w:pStyle w:val="Compact"/>
      </w:pPr>
      <w:r>
        <w:t xml:space="preserve">Total Product Weight: 1.62 kg</w:t>
      </w:r>
    </w:p>
    <w:p>
      <w:pPr>
        <w:numPr>
          <w:ilvl w:val="1"/>
          <w:numId w:val="1013"/>
        </w:numPr>
        <w:pStyle w:val="Compact"/>
      </w:pPr>
      <w:r>
        <w:t xml:space="preserve">Unrecyclable Portion: 1.62 kg * (1 - 80%) = 1.62 kg * 0.20 = 0.324 kg</w:t>
      </w:r>
    </w:p>
    <w:p>
      <w:pPr>
        <w:numPr>
          <w:ilvl w:val="1"/>
          <w:numId w:val="1013"/>
        </w:numPr>
        <w:pStyle w:val="Compact"/>
      </w:pPr>
      <w:r>
        <w:t xml:space="preserve">Emissions from Unrecyclable Waste: 0.324 kg * 1.5 kg CO2e/kg = 0.486 kg CO2e</w:t>
      </w:r>
    </w:p>
    <w:p>
      <w:pPr>
        <w:numPr>
          <w:ilvl w:val="1"/>
          <w:numId w:val="1013"/>
        </w:numPr>
        <w:pStyle w:val="Compact"/>
      </w:pPr>
      <w:r>
        <w:t xml:space="preserve">Recyclability Benefit: The 80% recyclability reduces the need for virgin materials, leading to avoided emissions. For simplicity here, we account for the burden of unrecyclable waste.</w:t>
      </w:r>
    </w:p>
    <w:p>
      <w:pPr>
        <w:numPr>
          <w:ilvl w:val="1"/>
          <w:numId w:val="1013"/>
        </w:numPr>
        <w:pStyle w:val="Compact"/>
      </w:pPr>
      <w:r>
        <w:rPr>
          <w:bCs/>
          <w:b/>
        </w:rPr>
        <w:t xml:space="preserve">Total End-of-Life Impact: 0.486 kg CO2e</w:t>
      </w:r>
    </w:p>
    <w:bookmarkEnd w:id="32"/>
    <w:bookmarkStart w:id="33" w:name="X9b8f96e5fd6ec30b02c91cc11d45f1568d9808c"/>
    <w:p>
      <w:pPr>
        <w:pStyle w:val="Heading4"/>
      </w:pPr>
      <w:r>
        <w:t xml:space="preserve">Summary of Emissions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CO2e (kg) per Functional Unit</w:t>
            </w:r>
          </w:p>
        </w:tc>
        <w:tc>
          <w:tcPr/>
          <w:p>
            <w:pPr>
              <w:pStyle w:val="Compact"/>
              <w:jc w:val="left"/>
            </w:pPr>
            <w:r>
              <w:t xml:space="preserve">Percentage of Total (%)</w:t>
            </w:r>
          </w:p>
        </w:tc>
      </w:tr>
      <w:tr>
        <w:tc>
          <w:tcPr/>
          <w:p>
            <w:pPr>
              <w:pStyle w:val="Compact"/>
              <w:jc w:val="left"/>
            </w:pPr>
            <w:r>
              <w:t xml:space="preserve">Materials</w:t>
            </w:r>
          </w:p>
        </w:tc>
        <w:tc>
          <w:tcPr/>
          <w:p>
            <w:pPr>
              <w:pStyle w:val="Compact"/>
              <w:jc w:val="left"/>
            </w:pPr>
            <w:r>
              <w:t xml:space="preserve">Scope 3 (Upstream)</w:t>
            </w:r>
          </w:p>
        </w:tc>
        <w:tc>
          <w:tcPr/>
          <w:p>
            <w:pPr>
              <w:pStyle w:val="Compact"/>
              <w:jc w:val="left"/>
            </w:pPr>
            <w:r>
              <w:t xml:space="preserve">12.08</w:t>
            </w:r>
          </w:p>
        </w:tc>
        <w:tc>
          <w:tcPr/>
          <w:p>
            <w:pPr>
              <w:pStyle w:val="Compact"/>
              <w:jc w:val="left"/>
            </w:pPr>
            <w:r>
              <w:t xml:space="preserve">45.0%</w:t>
            </w:r>
          </w:p>
        </w:tc>
      </w:tr>
      <w:tr>
        <w:tc>
          <w:tcPr/>
          <w:p>
            <w:pPr>
              <w:pStyle w:val="Compact"/>
              <w:jc w:val="left"/>
            </w:pPr>
            <w:r>
              <w:t xml:space="preserve">Manufacturing Energy</w:t>
            </w:r>
          </w:p>
        </w:tc>
        <w:tc>
          <w:tcPr/>
          <w:p>
            <w:pPr>
              <w:pStyle w:val="Compact"/>
              <w:jc w:val="left"/>
            </w:pPr>
            <w:r>
              <w:t xml:space="preserve">Scope 3 (Upstream)</w:t>
            </w:r>
          </w:p>
        </w:tc>
        <w:tc>
          <w:tcPr/>
          <w:p>
            <w:pPr>
              <w:pStyle w:val="Compact"/>
              <w:jc w:val="left"/>
            </w:pPr>
            <w:r>
              <w:t xml:space="preserve">1.525</w:t>
            </w:r>
          </w:p>
        </w:tc>
        <w:tc>
          <w:tcPr/>
          <w:p>
            <w:pPr>
              <w:pStyle w:val="Compact"/>
              <w:jc w:val="left"/>
            </w:pPr>
            <w:r>
              <w:t xml:space="preserve">5.7%</w:t>
            </w:r>
          </w:p>
        </w:tc>
      </w:tr>
      <w:tr>
        <w:tc>
          <w:tcPr/>
          <w:p>
            <w:pPr>
              <w:pStyle w:val="Compact"/>
              <w:jc w:val="left"/>
            </w:pPr>
            <w:r>
              <w:t xml:space="preserve">Transport</w:t>
            </w:r>
          </w:p>
        </w:tc>
        <w:tc>
          <w:tcPr/>
          <w:p>
            <w:pPr>
              <w:pStyle w:val="Compact"/>
              <w:jc w:val="left"/>
            </w:pPr>
            <w:r>
              <w:t xml:space="preserve">Scope 3 (Upstream)</w:t>
            </w:r>
          </w:p>
        </w:tc>
        <w:tc>
          <w:tcPr/>
          <w:p>
            <w:pPr>
              <w:pStyle w:val="Compact"/>
              <w:jc w:val="left"/>
            </w:pPr>
            <w:r>
              <w:t xml:space="preserve">2.0</w:t>
            </w:r>
          </w:p>
        </w:tc>
        <w:tc>
          <w:tcPr/>
          <w:p>
            <w:pPr>
              <w:pStyle w:val="Compact"/>
              <w:jc w:val="left"/>
            </w:pPr>
            <w:r>
              <w:t xml:space="preserve">7.5%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9.0</w:t>
            </w:r>
          </w:p>
        </w:tc>
        <w:tc>
          <w:tcPr/>
          <w:p>
            <w:pPr>
              <w:pStyle w:val="Compact"/>
              <w:jc w:val="left"/>
            </w:pPr>
            <w:r>
              <w:t xml:space="preserve">33.5%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0.486</w:t>
            </w:r>
          </w:p>
        </w:tc>
        <w:tc>
          <w:tcPr/>
          <w:p>
            <w:pPr>
              <w:pStyle w:val="Compact"/>
              <w:jc w:val="left"/>
            </w:pPr>
            <w:r>
              <w:t xml:space="preserve">1.8%</w:t>
            </w:r>
          </w:p>
        </w:tc>
      </w:tr>
      <w:tr>
        <w:tc>
          <w:tcPr/>
          <w:p>
            <w:pPr>
              <w:pStyle w:val="Compact"/>
              <w:jc w:val="left"/>
            </w:pPr>
            <w:r>
              <w:t xml:space="preserve">TOTAL PCF</w:t>
            </w:r>
          </w:p>
        </w:tc>
        <w:tc>
          <w:tcPr/>
          <w:p>
            <w:pPr>
              <w:pStyle w:val="Compact"/>
            </w:pPr>
          </w:p>
        </w:tc>
        <w:tc>
          <w:tcPr/>
          <w:p>
            <w:pPr>
              <w:pStyle w:val="Compact"/>
              <w:jc w:val="left"/>
            </w:pPr>
            <w:r>
              <w:t xml:space="preserve">25.091</w:t>
            </w:r>
          </w:p>
        </w:tc>
        <w:tc>
          <w:tcPr/>
          <w:p>
            <w:pPr>
              <w:pStyle w:val="Compact"/>
              <w:jc w:val="left"/>
            </w:pPr>
            <w:r>
              <w:t xml:space="preserve">100%</w:t>
            </w:r>
          </w:p>
        </w:tc>
      </w:tr>
    </w:tbl>
    <w:p>
      <w:pPr>
        <w:pStyle w:val="BodyText"/>
      </w:pPr>
      <w:r>
        <w:rPr>
          <w:iCs/>
          <w:i/>
        </w:rPr>
        <w:t xml:space="preserve">Note: Scope 1 and Scope 2 emissions are considered negligible or embedded within the upstream Scope 3 emissions for a "factory_gate" boundary when assessing a product\'s PCF from a consumer/buyer perspective. If erjlnzmhdw owned the production facility, manufacturing energy would partially fall under Scope 2.</w:t>
      </w:r>
    </w:p>
    <w:p>
      <w:r>
        <w:pict>
          <v:rect style="width:0;height:1.5pt" o:hralign="center" o:hrstd="t" o:hr="t"/>
        </w:pict>
      </w:r>
    </w:p>
    <w:bookmarkEnd w:id="33"/>
    <w:bookmarkEnd w:id="34"/>
    <w:bookmarkStart w:id="38" w:name="review-report"/>
    <w:p>
      <w:pPr>
        <w:pStyle w:val="Heading3"/>
      </w:pPr>
      <w:r>
        <w:t xml:space="preserve">5. Review &amp; Report</w:t>
      </w:r>
    </w:p>
    <w:bookmarkStart w:id="35" w:name="key-findings-hotspots"/>
    <w:p>
      <w:pPr>
        <w:pStyle w:val="Heading4"/>
      </w:pPr>
      <w:r>
        <w:t xml:space="preserve">Key Findings &amp; Hotspots:</w:t>
      </w:r>
    </w:p>
    <w:p>
      <w:pPr>
        <w:numPr>
          <w:ilvl w:val="0"/>
          <w:numId w:val="1014"/>
        </w:numPr>
        <w:pStyle w:val="Compact"/>
      </w:pPr>
      <w:r>
        <w:t xml:space="preserve">The total Product Carbon Footprint for one unit of lpjkvglpfu is approximately</w:t>
      </w:r>
      <w:r>
        <w:t xml:space="preserve"> </w:t>
      </w:r>
      <w:r>
        <w:rPr>
          <w:bCs/>
          <w:b/>
        </w:rPr>
        <w:t xml:space="preserve">25.09 kg CO2e</w:t>
      </w:r>
      <w:r>
        <w:t xml:space="preserve">.</w:t>
      </w:r>
    </w:p>
    <w:p>
      <w:pPr>
        <w:numPr>
          <w:ilvl w:val="0"/>
          <w:numId w:val="1014"/>
        </w:numPr>
        <w:pStyle w:val="Compact"/>
      </w:pPr>
      <w:r>
        <w:t xml:space="preserve">The most significant emission hotspot is the</w:t>
      </w:r>
      <w:r>
        <w:t xml:space="preserve"> </w:t>
      </w:r>
      <w:r>
        <w:rPr>
          <w:bCs/>
          <w:b/>
        </w:rPr>
        <w:t xml:space="preserve">Material Acquisition and Production</w:t>
      </w:r>
      <w:r>
        <w:t xml:space="preserve"> </w:t>
      </w:r>
      <w:r>
        <w:t xml:space="preserve">phase (Scope 3 - Upstream), contributing approximately 45.0% of the total footprint. This is largely driven by the Circuit Board (PCB) and Aluminum Casing.</w:t>
      </w:r>
    </w:p>
    <w:p>
      <w:pPr>
        <w:numPr>
          <w:ilvl w:val="0"/>
          <w:numId w:val="1014"/>
        </w:numPr>
        <w:pStyle w:val="Compact"/>
      </w:pPr>
      <w:r>
        <w:t xml:space="preserve">The</w:t>
      </w:r>
      <w:r>
        <w:t xml:space="preserve"> </w:t>
      </w:r>
      <w:r>
        <w:rPr>
          <w:bCs/>
          <w:b/>
        </w:rPr>
        <w:t xml:space="preserve">Use Phase</w:t>
      </w:r>
      <w:r>
        <w:t xml:space="preserve"> </w:t>
      </w:r>
      <w:r>
        <w:t xml:space="preserve">(Scope 3 - Downstream) is the second largest contributor, accounting for 33.5%, highlighting the importance of energy efficiency during product operation and cleaner energy grids for users.</w:t>
      </w:r>
    </w:p>
    <w:p>
      <w:pPr>
        <w:numPr>
          <w:ilvl w:val="0"/>
          <w:numId w:val="1014"/>
        </w:numPr>
        <w:pStyle w:val="Compact"/>
      </w:pPr>
      <w:r>
        <w:t xml:space="preserve">Transport (7.5%) and Manufacturing Energy (5.7%) are moderate contributors, while End-of-Life impacts (1.8%) are relatively low due to high recyclability.</w:t>
      </w:r>
    </w:p>
    <w:bookmarkEnd w:id="35"/>
    <w:bookmarkStart w:id="36" w:name="reliability-data-quality"/>
    <w:p>
      <w:pPr>
        <w:pStyle w:val="Heading4"/>
      </w:pPr>
      <w:r>
        <w:t xml:space="preserve">Reliability &amp; Data Quality:</w:t>
      </w:r>
    </w:p>
    <w:p>
      <w:pPr>
        <w:pStyle w:val="FirstParagraph"/>
      </w:pPr>
      <w:r>
        <w:t xml:space="preserve">The analysis utilizes primary data from the provided Bill of Materials and energy customization data, ensuring high accuracy for these specific inputs. Secondary data for emission factors (e.g., electricity grids, transport modes, waste management) are drawn from reputable industry databases (e.g., Ecoinvent, DEFRA), representing average industry performance. The high coverage of Scope 3 emissions (above 95%) enhances the overall reliability and completeness of the report.</w:t>
      </w:r>
    </w:p>
    <w:bookmarkEnd w:id="36"/>
    <w:bookmarkStart w:id="37" w:name="recommendations-for-emission-reduction"/>
    <w:p>
      <w:pPr>
        <w:pStyle w:val="Heading4"/>
      </w:pPr>
      <w:r>
        <w:t xml:space="preserve">Recommendations for Emission Reduction:</w:t>
      </w:r>
    </w:p>
    <w:p>
      <w:pPr>
        <w:numPr>
          <w:ilvl w:val="0"/>
          <w:numId w:val="1015"/>
        </w:numPr>
        <w:pStyle w:val="Compact"/>
      </w:pPr>
      <w:r>
        <w:rPr>
          <w:bCs/>
          <w:b/>
        </w:rPr>
        <w:t xml:space="preserve">Material Optimization:</w:t>
      </w:r>
      <w:r>
        <w:t xml:space="preserve"> </w:t>
      </w:r>
      <w:r>
        <w:t xml:space="preserve">Investigate opportunities for using lower-carbon materials for the Circuit Board and Aluminum Casing, or explore design changes to reduce material quantity. Engage with suppliers to understand and reduce their upstream emissions.</w:t>
      </w:r>
    </w:p>
    <w:p>
      <w:pPr>
        <w:numPr>
          <w:ilvl w:val="0"/>
          <w:numId w:val="1015"/>
        </w:numPr>
        <w:pStyle w:val="Compact"/>
      </w:pPr>
      <w:r>
        <w:rPr>
          <w:bCs/>
          <w:b/>
        </w:rPr>
        <w:t xml:space="preserve">Enhance Use Phase Efficiency:</w:t>
      </w:r>
      <w:r>
        <w:t xml:space="preserve"> </w:t>
      </w:r>
      <w:r>
        <w:t xml:space="preserve">Continue efforts to improve the energy efficiency of lpjkvglpfu during its operational lifetime. Educate consumers on responsible energy consumption and the benefits of using renewable energy sources where available.</w:t>
      </w:r>
    </w:p>
    <w:p>
      <w:pPr>
        <w:numPr>
          <w:ilvl w:val="0"/>
          <w:numId w:val="1015"/>
        </w:numPr>
        <w:pStyle w:val="Compact"/>
      </w:pPr>
      <w:r>
        <w:rPr>
          <w:bCs/>
          <w:b/>
        </w:rPr>
        <w:t xml:space="preserve">Supply Chain Engagement:</w:t>
      </w:r>
      <w:r>
        <w:t xml:space="preserve"> </w:t>
      </w:r>
      <w:r>
        <w:t xml:space="preserve">Collaborate with transport providers to optimize routes, shift to lower-emission transport modes where feasible, and explore alternative fuels.</w:t>
      </w:r>
    </w:p>
    <w:p>
      <w:pPr>
        <w:numPr>
          <w:ilvl w:val="0"/>
          <w:numId w:val="1015"/>
        </w:numPr>
        <w:pStyle w:val="Compact"/>
      </w:pPr>
      <w:r>
        <w:rPr>
          <w:bCs/>
          <w:b/>
        </w:rPr>
        <w:t xml:space="preserve">Circular Economy Initiatives:</w:t>
      </w:r>
      <w:r>
        <w:t xml:space="preserve"> </w:t>
      </w:r>
      <w:r>
        <w:t xml:space="preserve">Continue to strengthen circular economy initiatives, including take-back programs and increasing recycled content, to further minimize End-of-Life impacts and drive a more sustainable product lifecycle.</w:t>
      </w:r>
    </w:p>
    <w:p>
      <w:r>
        <w:pict>
          <v:rect style="width:0;height:1.5pt" o:hralign="center" o:hrstd="t" o:hr="t"/>
        </w:pict>
      </w:r>
    </w:p>
    <w:p>
      <w:pPr>
        <w:pStyle w:val="FirstParagraph"/>
      </w:pPr>
      <w:r>
        <w:t xml:space="preserve">Confidential - Internal Use Only | Generated Date: May 20, 2026</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lpjkvglpfu</dc:title>
  <dc:creator/>
  <dc:description>Detailed Product Carbon Footprint (PCF) analysis report for lpjkvglpfu, following GHG Protocol standards, conducted by upmmiiykes, Senior Sustainability Consultant for erjlnzmhdw. Covers material, production, transport, use-phase, and end-of-life emissions.</dc:description>
  <dc:language>en</dc:language>
  <cp:keywords/>
  <dcterms:created xsi:type="dcterms:W3CDTF">2026-07-15T18:09:58Z</dcterms:created>
  <dcterms:modified xsi:type="dcterms:W3CDTF">2026-07-15T18:09:58Z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