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lpftmzzgfx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lpftmzzgfx"/>
    <w:p>
      <w:pPr>
        <w:pStyle w:val="Heading2"/>
      </w:pPr>
      <w:r>
        <w:t xml:space="preserve">For Product: lpftmzzgfx</w:t>
      </w:r>
    </w:p>
    <w:p>
      <w:pPr>
        <w:pStyle w:val="FirstParagraph"/>
      </w:pPr>
      <w:r>
        <w:br/>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zjeogpejon</w:t>
      </w:r>
    </w:p>
    <w:p>
      <w:pPr>
        <w:pStyle w:val="BodyText"/>
      </w:pPr>
      <w:r>
        <w:rPr>
          <w:bCs/>
          <w:b/>
        </w:rPr>
        <w:t xml:space="preserve">Senior Sustainability Consultant:</w:t>
      </w:r>
      <w:r>
        <w:t xml:space="preserve"> </w:t>
      </w:r>
      <w:r>
        <w:t xml:space="preserve">izovxmngyo</w:t>
      </w:r>
    </w:p>
    <w:p>
      <w:pPr>
        <w:pStyle w:val="BodyText"/>
      </w:pPr>
      <w:r>
        <w:br/>
      </w:r>
    </w:p>
    <w:p>
      <w:pPr>
        <w:pStyle w:val="BodyText"/>
      </w:pPr>
      <w:r>
        <w:t xml:space="preserve">Disclaimer: This report is generated based on available data and industry standards, incorporating specific parameters provided for analysis. Actual emissions may vary depending on real-world operational conditions and data accuracy.</w:t>
      </w:r>
    </w:p>
    <w:bookmarkEnd w:id="20"/>
    <w:bookmarkEnd w:id="21"/>
    <w:bookmarkStart w:id="47"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3,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lpftmzzgfx, manufactured by zjeogpejon. The analysis, conducted by Senior Sustainability Consultant izovxmngyo, adheres strictly to the GHG Protocol accounting standard, incorporating the latest 2026 Land Sector and Removals (LSR) Standard and ensuring at least 95% coverage for Scope 3 emissions. The goal is to quantify the greenhouse gas (GHG) emissions associated with lpftmzzgfx across its lifecycle, identify emission hotspots, and provide actionable insights for sustainability improvements. The calculations presented herein are illustrative, based on the specific, placeholder parameters provided, and assumed industry average emission factors where primary data was generic.</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first step in any robust PCF analysis is to clearly define the scope of the study.</w:t>
      </w:r>
    </w:p>
    <w:p>
      <w:pPr>
        <w:numPr>
          <w:ilvl w:val="0"/>
          <w:numId w:val="1001"/>
        </w:numPr>
        <w:pStyle w:val="Compact"/>
      </w:pPr>
      <w:r>
        <w:rPr>
          <w:bCs/>
          <w:b/>
        </w:rPr>
        <w:t xml:space="preserve">Functional Unit:</w:t>
      </w:r>
      <w:r>
        <w:t xml:space="preserve"> </w:t>
      </w:r>
      <w:r>
        <w:t xml:space="preserve">The functional unit for this analysis is defined as 1.0 unit of lpftmzzgfx. This provides a clear basis for quantification and comparison.</w:t>
      </w:r>
    </w:p>
    <w:p>
      <w:pPr>
        <w:numPr>
          <w:ilvl w:val="0"/>
          <w:numId w:val="1001"/>
        </w:numPr>
        <w:pStyle w:val="Compact"/>
      </w:pPr>
      <w:r>
        <w:rPr>
          <w:bCs/>
          <w:b/>
        </w:rPr>
        <w:t xml:space="preserve">System Boundary:</w:t>
      </w:r>
      <w:r>
        <w:t xml:space="preserve"> </w:t>
      </w:r>
      <w:r>
        <w:t xml:space="preserve">The system boundary adopted is "factory_gate" for direct operational emissions (Scope 1 &amp; 2), expanded to a significant "cradle-to-grave" approach by including upstream and downstream Scope 3 emissions. This expanded boundary covers raw material acquisition, manufacturing, transportation, the use phase, and end-of-life treatment, as per comprehensive GHG Protocol requirements for product lifecycle assessments.</w:t>
      </w:r>
    </w:p>
    <w:p>
      <w:pPr>
        <w:numPr>
          <w:ilvl w:val="0"/>
          <w:numId w:val="1001"/>
        </w:numPr>
        <w:pStyle w:val="Compact"/>
      </w:pPr>
      <w:r>
        <w:rPr>
          <w:bCs/>
          <w:b/>
        </w:rPr>
        <w:t xml:space="preserve">Geographic Scope:</w:t>
      </w:r>
      <w:r>
        <w:t xml:space="preserve"> </w:t>
      </w:r>
      <w:r>
        <w:t xml:space="preserve">The final production country is China, with a specific focus on the supply chain primarily originating from Europe. This dual focus acknowledges both manufacturing site emissions and the extensive impact of international supply chain logistics.</w:t>
      </w:r>
    </w:p>
    <w:p>
      <w:pPr>
        <w:numPr>
          <w:ilvl w:val="0"/>
          <w:numId w:val="1001"/>
        </w:numPr>
        <w:pStyle w:val="Compact"/>
      </w:pPr>
      <w:r>
        <w:rPr>
          <w:bCs/>
          <w:b/>
        </w:rPr>
        <w:t xml:space="preserve">Allocation:</w:t>
      </w:r>
      <w:r>
        <w:t xml:space="preserve"> </w:t>
      </w:r>
      <w:r>
        <w:t xml:space="preserve">For multi-output processes, emissions would be allocated based on mass, economic value, or other relevant criteria. For lpftmzzgfx, assuming it is a single primary product, direct allocation is applied.</w:t>
      </w:r>
    </w:p>
    <w:p>
      <w:pPr>
        <w:numPr>
          <w:ilvl w:val="0"/>
          <w:numId w:val="1001"/>
        </w:numPr>
        <w:pStyle w:val="Compact"/>
      </w:pPr>
      <w:r>
        <w:rPr>
          <w:bCs/>
          <w:b/>
        </w:rPr>
        <w:t xml:space="preserve">Accounting Standard:</w:t>
      </w:r>
      <w:r>
        <w:t xml:space="preserve"> </w:t>
      </w:r>
      <w:r>
        <w:t xml:space="preserve">The analysis strictly adheres to the GHG Protocol Product Standard, ensuring consistency, transparency, and comparability of results.</w:t>
      </w:r>
    </w:p>
    <w:p>
      <w:r>
        <w:pict>
          <v:rect style="width:0;height:1.5pt" o:hralign="center" o:hrstd="t" o:hr="t"/>
        </w:pict>
      </w:r>
    </w:p>
    <w:bookmarkEnd w:id="23"/>
    <w:bookmarkStart w:id="29" w:name="map-lifecycle-3.-collect-data"/>
    <w:p>
      <w:pPr>
        <w:pStyle w:val="Heading2"/>
      </w:pPr>
      <w:r>
        <w:t xml:space="preserve">2. Map Lifecycle &amp; 3. Collect Data</w:t>
      </w:r>
    </w:p>
    <w:p>
      <w:pPr>
        <w:pStyle w:val="FirstParagraph"/>
      </w:pPr>
      <w:r>
        <w:t xml:space="preserve">This section details the lifecycle stages considered and the data collected (or assumed based on provided placeholders) for the PCF calculation. Given the placeholder nature of some input parameters, illustrative data has been used where specific values were not provided or were generic strings.</w:t>
      </w:r>
    </w:p>
    <w:bookmarkStart w:id="24" w:name="X6deb853cf8a08d384b3b15e7da960724d8dbd61"/>
    <w:p>
      <w:pPr>
        <w:pStyle w:val="Heading3"/>
      </w:pPr>
      <w:r>
        <w:t xml:space="preserve">Detailed Bill of Materials (BOM) for lpftmzzgfx</w:t>
      </w:r>
    </w:p>
    <w:p>
      <w:pPr>
        <w:pStyle w:val="FirstParagraph"/>
      </w:pPr>
      <w:r>
        <w:t xml:space="preserve">The material impact is a significant component of the product\'s footprint. The following BOM data, provided as "hfidojfz", has been structured for calculation. As the input was a placeholder, a representative example of a BOM structure is used for demonstration purposes with example emission factors (EFs).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[Illustrative]</w:t>
            </w:r>
          </w:p>
        </w:tc>
        <w:tc>
          <w:tcPr/>
          <w:p>
            <w:pPr>
              <w:pStyle w:val="Compact"/>
              <w:jc w:val="left"/>
            </w:pPr>
            <w:r>
              <w:t xml:space="preserve">Total Carbon (kg CO2e) [Illustrative]</w:t>
            </w:r>
          </w:p>
        </w:tc>
      </w:tr>
      <w:tr>
        <w:tc>
          <w:tcPr/>
          <w:p>
            <w:pPr>
              <w:pStyle w:val="Compact"/>
              <w:jc w:val="left"/>
            </w:pPr>
            <w:r>
              <w:t xml:space="preserve">101</w:t>
            </w:r>
          </w:p>
        </w:tc>
        <w:tc>
          <w:tcPr/>
          <w:p>
            <w:pPr>
              <w:pStyle w:val="Compact"/>
              <w:jc w:val="left"/>
            </w:pPr>
            <w:r>
              <w:t xml:space="preserve">Alloyed Steel Casing</w:t>
            </w:r>
          </w:p>
        </w:tc>
        <w:tc>
          <w:tcPr/>
          <w:p>
            <w:pPr>
              <w:pStyle w:val="Compact"/>
              <w:jc w:val="left"/>
            </w:pPr>
            <w:r>
              <w:t xml:space="preserve">Metals</w:t>
            </w:r>
          </w:p>
        </w:tc>
        <w:tc>
          <w:tcPr/>
          <w:p>
            <w:pPr>
              <w:pStyle w:val="Compact"/>
              <w:jc w:val="left"/>
            </w:pPr>
            <w:r>
              <w:t xml:space="preserve">Primary Steel Production</w:t>
            </w:r>
          </w:p>
        </w:tc>
        <w:tc>
          <w:tcPr/>
          <w:p>
            <w:pPr>
              <w:pStyle w:val="Compact"/>
              <w:jc w:val="left"/>
            </w:pPr>
            <w:r>
              <w:t xml:space="preserve">1.5</w:t>
            </w:r>
          </w:p>
        </w:tc>
        <w:tc>
          <w:tcPr/>
          <w:p>
            <w:pPr>
              <w:pStyle w:val="Compact"/>
              <w:jc w:val="left"/>
            </w:pPr>
            <w:r>
              <w:t xml:space="preserve">kg</w:t>
            </w:r>
          </w:p>
        </w:tc>
        <w:tc>
          <w:tcPr/>
          <w:p>
            <w:pPr>
              <w:pStyle w:val="Compact"/>
              <w:jc w:val="left"/>
            </w:pPr>
            <w:r>
              <w:t xml:space="preserve">2.2</w:t>
            </w:r>
          </w:p>
        </w:tc>
        <w:tc>
          <w:tcPr/>
          <w:p>
            <w:pPr>
              <w:pStyle w:val="Compact"/>
              <w:jc w:val="left"/>
            </w:pPr>
            <w:r>
              <w:t xml:space="preserve">3.30</w:t>
            </w:r>
          </w:p>
        </w:tc>
      </w:tr>
      <w:tr>
        <w:tc>
          <w:tcPr/>
          <w:p>
            <w:pPr>
              <w:pStyle w:val="Compact"/>
              <w:jc w:val="left"/>
            </w:pPr>
            <w:r>
              <w:t xml:space="preserve">102</w:t>
            </w:r>
          </w:p>
        </w:tc>
        <w:tc>
          <w:tcPr/>
          <w:p>
            <w:pPr>
              <w:pStyle w:val="Compact"/>
              <w:jc w:val="left"/>
            </w:pPr>
            <w:r>
              <w:t xml:space="preserve">Recycled 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1.7</w:t>
            </w:r>
          </w:p>
        </w:tc>
        <w:tc>
          <w:tcPr/>
          <w:p>
            <w:pPr>
              <w:pStyle w:val="Compact"/>
              <w:jc w:val="left"/>
            </w:pPr>
            <w:r>
              <w:t xml:space="preserve">1.36</w:t>
            </w:r>
          </w:p>
        </w:tc>
      </w:tr>
      <w:tr>
        <w:tc>
          <w:tcPr/>
          <w:p>
            <w:pPr>
              <w:pStyle w:val="Compact"/>
              <w:jc w:val="left"/>
            </w:pPr>
            <w:r>
              <w:t xml:space="preserve">103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Refining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3.1</w:t>
            </w:r>
          </w:p>
        </w:tc>
        <w:tc>
          <w:tcPr/>
          <w:p>
            <w:pPr>
              <w:pStyle w:val="Compact"/>
              <w:jc w:val="left"/>
            </w:pPr>
            <w:r>
              <w:t xml:space="preserve">0.62</w:t>
            </w:r>
          </w:p>
        </w:tc>
      </w:tr>
      <w:tr>
        <w:tc>
          <w:tcPr/>
          <w:p>
            <w:pPr>
              <w:pStyle w:val="Compact"/>
              <w:jc w:val="left"/>
            </w:pPr>
            <w:r>
              <w:t xml:space="preserve">104</w:t>
            </w:r>
          </w:p>
        </w:tc>
        <w:tc>
          <w:tcPr/>
          <w:p>
            <w:pPr>
              <w:pStyle w:val="Compact"/>
              <w:jc w:val="left"/>
            </w:pPr>
            <w:r>
              <w:t xml:space="preserve">Silicon Chipset</w:t>
            </w:r>
          </w:p>
        </w:tc>
        <w:tc>
          <w:tcPr/>
          <w:p>
            <w:pPr>
              <w:pStyle w:val="Compact"/>
              <w:jc w:val="left"/>
            </w:pPr>
            <w:r>
              <w:t xml:space="preserve">Semiconductor</w:t>
            </w:r>
          </w:p>
        </w:tc>
        <w:tc>
          <w:tcPr/>
          <w:p>
            <w:pPr>
              <w:pStyle w:val="Compact"/>
              <w:jc w:val="left"/>
            </w:pPr>
            <w:r>
              <w:t xml:space="preserve">Chip 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105</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Battery Assembly</w:t>
            </w:r>
          </w:p>
        </w:tc>
        <w:tc>
          <w:tcPr/>
          <w:p>
            <w:pPr>
              <w:pStyle w:val="Compact"/>
              <w:jc w:val="left"/>
            </w:pPr>
            <w:r>
              <w:t xml:space="preserve">0.3</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3.60</w:t>
            </w:r>
          </w:p>
        </w:tc>
      </w:tr>
    </w:tbl>
    <w:p>
      <w:pPr>
        <w:pStyle w:val="BodyText"/>
      </w:pPr>
      <w:r>
        <w:rPr>
          <w:iCs/>
          <w:i/>
        </w:rPr>
        <w:t xml:space="preserve">Note: The "Emission Factor (kg CO2e/Unit) [Illustrative]" and "Total Carbon (kg CO2e) [Illustrative]" values are examples based on typical industry averages for these materials and processes, as the provided BOM string was a placeholder ("hfidojfz") without specific numerical emission factors. In a real analysis, these would come from verified Ecoinvent or DEFRA databases.</w:t>
      </w:r>
    </w:p>
    <w:bookmarkEnd w:id="24"/>
    <w:bookmarkStart w:id="25" w:name="production-energy-inputs"/>
    <w:p>
      <w:pPr>
        <w:pStyle w:val="Heading3"/>
      </w:pPr>
      <w:r>
        <w:t xml:space="preserve">Production Energy Inputs</w:t>
      </w:r>
    </w:p>
    <w:p>
      <w:pPr>
        <w:pStyle w:val="FirstParagraph"/>
      </w:pPr>
      <w:r>
        <w:t xml:space="preserve">Energy consumption during the production phase is a critical element. The following data was provided:</w:t>
      </w:r>
    </w:p>
    <w:p>
      <w:pPr>
        <w:numPr>
          <w:ilvl w:val="0"/>
          <w:numId w:val="1002"/>
        </w:numPr>
        <w:pStyle w:val="Compact"/>
      </w:pPr>
      <w:r>
        <w:rPr>
          <w:bCs/>
          <w:b/>
        </w:rPr>
        <w:t xml:space="preserve">Renewable Energy Usage:</w:t>
      </w:r>
      <w:r>
        <w:t xml:space="preserve"> </w:t>
      </w:r>
      <w:r>
        <w:t xml:space="preserve">jojggnghej % (This percentage will directly reduce Scope 2 emissions from grid electricity)</w:t>
      </w:r>
    </w:p>
    <w:p>
      <w:pPr>
        <w:numPr>
          <w:ilvl w:val="0"/>
          <w:numId w:val="1002"/>
        </w:numPr>
        <w:pStyle w:val="Compact"/>
      </w:pPr>
      <w:r>
        <w:rPr>
          <w:bCs/>
          <w:b/>
        </w:rPr>
        <w:t xml:space="preserve">Energy Intensity (kWh/unit):</w:t>
      </w:r>
      <w:r>
        <w:t xml:space="preserve"> </w:t>
      </w:r>
      <w:r>
        <w:t xml:space="preserve">trkhdduigs kWh/unit</w:t>
      </w:r>
    </w:p>
    <w:p>
      <w:pPr>
        <w:pStyle w:val="FirstParagraph"/>
      </w:pPr>
      <w:r>
        <w:rPr>
          <w:iCs/>
          <w:i/>
        </w:rPr>
        <w:t xml:space="preserve">Note: As "jojggnghej" and "trkhdduigs" are placeholder strings, illustrative values will be used for calculation demonstration (e.g., Renewable Energy Usage: 50%, Energy Intensity: 5 kWh/unit).</w:t>
      </w:r>
    </w:p>
    <w:bookmarkEnd w:id="25"/>
    <w:bookmarkStart w:id="26" w:name="logistics-data"/>
    <w:p>
      <w:pPr>
        <w:pStyle w:val="Heading3"/>
      </w:pPr>
      <w:r>
        <w:t xml:space="preserve">Logistics Data</w:t>
      </w:r>
    </w:p>
    <w:p>
      <w:pPr>
        <w:pStyle w:val="FirstParagraph"/>
      </w:pPr>
      <w:r>
        <w:t xml:space="preserve">Transportation contributes to Scope 3 emissions. The following logistics parameters were considered:</w:t>
      </w:r>
    </w:p>
    <w:p>
      <w:pPr>
        <w:numPr>
          <w:ilvl w:val="0"/>
          <w:numId w:val="1003"/>
        </w:numPr>
        <w:pStyle w:val="Compact"/>
      </w:pPr>
      <w:r>
        <w:rPr>
          <w:bCs/>
          <w:b/>
        </w:rPr>
        <w:t xml:space="preserve">Primary Transport Mode (Upstream/Downstream):</w:t>
      </w:r>
      <w:r>
        <w:t xml:space="preserve"> </w:t>
      </w:r>
      <w:r>
        <w:t xml:space="preserve">Select Mode (e.g., Ocean Freight, Road Freight)</w:t>
      </w:r>
    </w:p>
    <w:p>
      <w:pPr>
        <w:numPr>
          <w:ilvl w:val="0"/>
          <w:numId w:val="1003"/>
        </w:numPr>
        <w:pStyle w:val="Compact"/>
      </w:pPr>
      <w:r>
        <w:rPr>
          <w:bCs/>
          <w:b/>
        </w:rPr>
        <w:t xml:space="preserve">Transport Distance:</w:t>
      </w:r>
      <w:r>
        <w:t xml:space="preserve"> </w:t>
      </w:r>
      <w:r>
        <w:t xml:space="preserve">jkozitfkvx km</w:t>
      </w:r>
    </w:p>
    <w:p>
      <w:pPr>
        <w:numPr>
          <w:ilvl w:val="0"/>
          <w:numId w:val="1003"/>
        </w:numPr>
        <w:pStyle w:val="Compact"/>
      </w:pPr>
      <w:r>
        <w:rPr>
          <w:bCs/>
          <w:b/>
        </w:rPr>
        <w:t xml:space="preserve">Last-Mile Delivery Channel:</w:t>
      </w:r>
      <w:r>
        <w:t xml:space="preserve"> </w:t>
      </w:r>
      <w:r>
        <w:t xml:space="preserve">Delivery Type (e.g., Van Delivery, Parcel Service)</w:t>
      </w:r>
    </w:p>
    <w:p>
      <w:pPr>
        <w:pStyle w:val="FirstParagraph"/>
      </w:pPr>
      <w:r>
        <w:rPr>
          <w:iCs/>
          <w:i/>
        </w:rPr>
        <w:t xml:space="preserve">Note: "Select Mode", "jkozitfkvx", and "Delivery Type" are placeholder strings. Illustrative values will be used (e.g., Ocean Freight, 10,000 km, Van Delivery).</w:t>
      </w:r>
    </w:p>
    <w:bookmarkEnd w:id="26"/>
    <w:bookmarkStart w:id="27" w:name="use-phase-data"/>
    <w:p>
      <w:pPr>
        <w:pStyle w:val="Heading3"/>
      </w:pPr>
      <w:r>
        <w:t xml:space="preserve">Use Phase Data</w:t>
      </w:r>
    </w:p>
    <w:p>
      <w:pPr>
        <w:pStyle w:val="FirstParagraph"/>
      </w:pPr>
      <w:r>
        <w:t xml:space="preserve">The energy consumption during the product\'s lifespan is accounted for:</w:t>
      </w:r>
    </w:p>
    <w:p>
      <w:pPr>
        <w:numPr>
          <w:ilvl w:val="0"/>
          <w:numId w:val="1004"/>
        </w:numPr>
        <w:pStyle w:val="Compact"/>
      </w:pPr>
      <w:r>
        <w:rPr>
          <w:bCs/>
          <w:b/>
        </w:rPr>
        <w:t xml:space="preserve">Product Lifespan:</w:t>
      </w:r>
      <w:r>
        <w:t xml:space="preserve"> </w:t>
      </w:r>
      <w:r>
        <w:t xml:space="preserve">onyhlvoldy years</w:t>
      </w:r>
    </w:p>
    <w:p>
      <w:pPr>
        <w:numPr>
          <w:ilvl w:val="0"/>
          <w:numId w:val="1004"/>
        </w:numPr>
        <w:pStyle w:val="Compact"/>
      </w:pPr>
      <w:r>
        <w:rPr>
          <w:bCs/>
          <w:b/>
        </w:rPr>
        <w:t xml:space="preserve">Energy Consumption in Use:</w:t>
      </w:r>
      <w:r>
        <w:t xml:space="preserve"> </w:t>
      </w:r>
      <w:r>
        <w:t xml:space="preserve">qemlonuojw kWh/year</w:t>
      </w:r>
    </w:p>
    <w:p>
      <w:pPr>
        <w:pStyle w:val="FirstParagraph"/>
      </w:pPr>
      <w:r>
        <w:rPr>
          <w:iCs/>
          <w:i/>
        </w:rPr>
        <w:t xml:space="preserve">Note: "onyhlvoldy" and "qemlonuojw" are placeholder strings. Illustrative values will be used (e.g., Lifespan: 5 years, Energy in Use: 10 kWh/year).</w:t>
      </w:r>
    </w:p>
    <w:bookmarkEnd w:id="27"/>
    <w:bookmarkStart w:id="28" w:name="end-of-life-eol-scenarios"/>
    <w:p>
      <w:pPr>
        <w:pStyle w:val="Heading3"/>
      </w:pPr>
      <w:r>
        <w:t xml:space="preserve">End-of-Life (EoL) Scenarios</w:t>
      </w:r>
    </w:p>
    <w:p>
      <w:pPr>
        <w:pStyle w:val="FirstParagraph"/>
      </w:pPr>
      <w:r>
        <w:t xml:space="preserve">Circular economy impacts are incorporated through EoL scenarios:</w:t>
      </w:r>
    </w:p>
    <w:p>
      <w:pPr>
        <w:numPr>
          <w:ilvl w:val="0"/>
          <w:numId w:val="1005"/>
        </w:numPr>
        <w:pStyle w:val="Compact"/>
      </w:pPr>
      <w:r>
        <w:rPr>
          <w:bCs/>
          <w:b/>
        </w:rPr>
        <w:t xml:space="preserve">Recyclability Percentage:</w:t>
      </w:r>
      <w:r>
        <w:t xml:space="preserve"> </w:t>
      </w:r>
      <w:r>
        <w:t xml:space="preserve">zloowuznen %</w:t>
      </w:r>
    </w:p>
    <w:p>
      <w:pPr>
        <w:numPr>
          <w:ilvl w:val="0"/>
          <w:numId w:val="1005"/>
        </w:numPr>
        <w:pStyle w:val="Compact"/>
      </w:pPr>
      <w:r>
        <w:rPr>
          <w:bCs/>
          <w:b/>
        </w:rPr>
        <w:t xml:space="preserve">Circular/Take-back Programs:</w:t>
      </w:r>
      <w:r>
        <w:t xml:space="preserve"> </w:t>
      </w:r>
      <w:r>
        <w:t xml:space="preserve">tysgxrmrgt (e.g., Yes/No, type of program)</w:t>
      </w:r>
    </w:p>
    <w:p>
      <w:pPr>
        <w:pStyle w:val="FirstParagraph"/>
      </w:pPr>
      <w:r>
        <w:rPr>
          <w:iCs/>
          <w:i/>
        </w:rPr>
        <w:t xml:space="preserve">Note: "zloowuznen" and "tysgxrmrgt" are placeholder strings. Illustrative values will be used (e.g., Recyclability: 70%, Circular Programs: Yes, Producer Responsibility Scheme).</w:t>
      </w:r>
    </w:p>
    <w:p>
      <w:r>
        <w:pict>
          <v:rect style="width:0;height:1.5pt" o:hralign="center" o:hrstd="t" o:hr="t"/>
        </w:pict>
      </w:r>
    </w:p>
    <w:bookmarkEnd w:id="28"/>
    <w:bookmarkEnd w:id="29"/>
    <w:bookmarkStart w:id="42" w:name="calculate-emissions"/>
    <w:p>
      <w:pPr>
        <w:pStyle w:val="Heading2"/>
      </w:pPr>
      <w:r>
        <w:t xml:space="preserve">4. Calculate Emissions</w:t>
      </w:r>
    </w:p>
    <w:p>
      <w:pPr>
        <w:pStyle w:val="FirstParagraph"/>
      </w:pPr>
      <w:r>
        <w:t xml:space="preserve">Emission calculations are performed by multiplying activity data (e.g., material quantity, energy consumption, transport distance) by relevant emission factors (EFs). EFs are sourced from industry-standard databases like Ecoinvent and DEFRA. All calculations are illustrative due to placeholder input data.</w:t>
      </w:r>
    </w:p>
    <w:bookmarkStart w:id="30" w:name="X328bbedf570dbe52520ba2788f7d0aacfb4565a"/>
    <w:p>
      <w:pPr>
        <w:pStyle w:val="Heading3"/>
      </w:pPr>
      <w:r>
        <w:t xml:space="preserve">Illustrative Emission Factors Used (Examples)</w:t>
      </w:r>
    </w:p>
    <w:p>
      <w:pPr>
        <w:numPr>
          <w:ilvl w:val="0"/>
          <w:numId w:val="1006"/>
        </w:numPr>
        <w:pStyle w:val="Compact"/>
      </w:pPr>
      <w:r>
        <w:t xml:space="preserve">Grid Electricity (China): 0.6 kg CO2e/kWh</w:t>
      </w:r>
    </w:p>
    <w:p>
      <w:pPr>
        <w:numPr>
          <w:ilvl w:val="0"/>
          <w:numId w:val="1006"/>
        </w:numPr>
        <w:pStyle w:val="Compact"/>
      </w:pPr>
      <w:r>
        <w:t xml:space="preserve">Renewable Electricity (China, if not zero-emission certified): 0.05 kg CO2e/kWh (for non-attribute specific residual mix)</w:t>
      </w:r>
    </w:p>
    <w:p>
      <w:pPr>
        <w:numPr>
          <w:ilvl w:val="0"/>
          <w:numId w:val="1006"/>
        </w:numPr>
        <w:pStyle w:val="Compact"/>
      </w:pPr>
      <w:r>
        <w:t xml:space="preserve">Ocean Freight: 0.01 kg CO2e/tonne-km</w:t>
      </w:r>
    </w:p>
    <w:p>
      <w:pPr>
        <w:numPr>
          <w:ilvl w:val="0"/>
          <w:numId w:val="1006"/>
        </w:numPr>
        <w:pStyle w:val="Compact"/>
      </w:pPr>
      <w:r>
        <w:t xml:space="preserve">Road Freight (Heavy Duty Truck): 0.1 kg CO2e/tonne-km</w:t>
      </w:r>
    </w:p>
    <w:p>
      <w:pPr>
        <w:numPr>
          <w:ilvl w:val="0"/>
          <w:numId w:val="1006"/>
        </w:numPr>
        <w:pStyle w:val="Compact"/>
      </w:pPr>
      <w:r>
        <w:t xml:space="preserve">Last-Mile Delivery (Van): 0.5 kg CO2e/delivery (approximate for typical parcel)</w:t>
      </w:r>
    </w:p>
    <w:p>
      <w:pPr>
        <w:numPr>
          <w:ilvl w:val="0"/>
          <w:numId w:val="1006"/>
        </w:numPr>
        <w:pStyle w:val="Compact"/>
      </w:pPr>
      <w:r>
        <w:t xml:space="preserve">Waste to Landfill (non-recyclable plastic): 3.0 kg CO2e/kg</w:t>
      </w:r>
    </w:p>
    <w:p>
      <w:pPr>
        <w:numPr>
          <w:ilvl w:val="0"/>
          <w:numId w:val="1006"/>
        </w:numPr>
        <w:pStyle w:val="Compact"/>
      </w:pPr>
      <w:r>
        <w:t xml:space="preserve">Avoided emissions from recycling (e.g., for metals): -1.5 kg CO2e/kg (credit for virgin material displacement)</w:t>
      </w:r>
    </w:p>
    <w:bookmarkEnd w:id="30"/>
    <w:bookmarkStart w:id="40" w:name="X3745671f35e168b2b537525d6912089a1742bce"/>
    <w:p>
      <w:pPr>
        <w:pStyle w:val="Heading3"/>
      </w:pPr>
      <w:r>
        <w:t xml:space="preserve">Calculation by Scope and Lifecycle Stage (Illustrative)</w:t>
      </w:r>
    </w:p>
    <w:bookmarkStart w:id="31" w:name="Xf49bfc7a3a6434d69fea7c936be4a25ad2388ab"/>
    <w:p>
      <w:pPr>
        <w:pStyle w:val="Heading4"/>
      </w:pPr>
      <w:r>
        <w:t xml:space="preserve">Scope 1: Direct Emissions (e.g., on-site fuel combustion)</w:t>
      </w:r>
    </w:p>
    <w:p>
      <w:pPr>
        <w:pStyle w:val="FirstParagraph"/>
      </w:pPr>
      <w:r>
        <w:t xml:space="preserve">Given the "factory_gate" system boundary and provided parameters, specific Scope 1 emissions (e.g., from direct fuel use in manufacturing processes) are not explicitly detailed in the input. For this analysis, we assume direct fuel combustion by the company zjeogpejon for the production of lpftmzzgfx to be negligible or covered by other categories for illustration purposes. In a real scenario, this would involve quantifying natural gas, diesel, etc., used on-site.</w:t>
      </w:r>
    </w:p>
    <w:p>
      <w:pPr>
        <w:numPr>
          <w:ilvl w:val="0"/>
          <w:numId w:val="1007"/>
        </w:numPr>
        <w:pStyle w:val="Compact"/>
      </w:pPr>
      <w:r>
        <w:rPr>
          <w:bCs/>
          <w:b/>
        </w:rPr>
        <w:t xml:space="preserve">Total Scope 1 Emissions (Illustrative):</w:t>
      </w:r>
      <w:r>
        <w:t xml:space="preserve"> </w:t>
      </w:r>
      <w:r>
        <w:t xml:space="preserve">0.0 kg CO2e</w:t>
      </w:r>
    </w:p>
    <w:bookmarkEnd w:id="31"/>
    <w:bookmarkStart w:id="32" w:name="X940f739cc6425d99b84e128f190b13e064c5cd0"/>
    <w:p>
      <w:pPr>
        <w:pStyle w:val="Heading4"/>
      </w:pPr>
      <w:r>
        <w:t xml:space="preserve">Scope 2: Indirect Emissions from Purchased Energy</w:t>
      </w:r>
    </w:p>
    <w:p>
      <w:pPr>
        <w:pStyle w:val="FirstParagraph"/>
      </w:pPr>
      <w:r>
        <w:t xml:space="preserve">These are emissions from purchased electricity, heat, or steam used in the production of lpftmzzgfx.</w:t>
      </w:r>
    </w:p>
    <w:p>
      <w:pPr>
        <w:numPr>
          <w:ilvl w:val="0"/>
          <w:numId w:val="1008"/>
        </w:numPr>
        <w:pStyle w:val="Compact"/>
      </w:pPr>
      <w:r>
        <w:t xml:space="preserve">Energy Intensity (trkhdduigs): 5 kWh/unit (Illustrative)</w:t>
      </w:r>
    </w:p>
    <w:p>
      <w:pPr>
        <w:numPr>
          <w:ilvl w:val="0"/>
          <w:numId w:val="1008"/>
        </w:numPr>
        <w:pStyle w:val="Compact"/>
      </w:pPr>
      <w:r>
        <w:t xml:space="preserve">Renewable Energy Usage (jojggnghej): 50% (Illustrative)</w:t>
      </w:r>
    </w:p>
    <w:p>
      <w:pPr>
        <w:numPr>
          <w:ilvl w:val="0"/>
          <w:numId w:val="1008"/>
        </w:numPr>
        <w:pStyle w:val="Compact"/>
      </w:pPr>
      <w:r>
        <w:t xml:space="preserve">Non-renewable energy: 5 kWh/unit * (1 - 0.50) = 2.5 kWh/unit</w:t>
      </w:r>
    </w:p>
    <w:p>
      <w:pPr>
        <w:numPr>
          <w:ilvl w:val="0"/>
          <w:numId w:val="1008"/>
        </w:numPr>
        <w:pStyle w:val="Compact"/>
      </w:pPr>
      <w:r>
        <w:t xml:space="preserve">Renewable energy: 5 kWh/unit * 0.50 = 2.5 kWh/unit</w:t>
      </w:r>
    </w:p>
    <w:p>
      <w:pPr>
        <w:numPr>
          <w:ilvl w:val="0"/>
          <w:numId w:val="1008"/>
        </w:numPr>
        <w:pStyle w:val="Compact"/>
      </w:pPr>
      <w:r>
        <w:t xml:space="preserve">Emissions from non-renewable energy: 2.5 kWh/unit * 0.6 kg CO2e/kWh (China Grid EF) = 1.5 kg CO2e</w:t>
      </w:r>
    </w:p>
    <w:p>
      <w:pPr>
        <w:numPr>
          <w:ilvl w:val="0"/>
          <w:numId w:val="1008"/>
        </w:numPr>
        <w:pStyle w:val="Compact"/>
      </w:pPr>
      <w:r>
        <w:t xml:space="preserve">Emissions from renewable energy: 2.5 kWh/unit * 0.05 kg CO2e/kWh (Illustrative residual EF) = 0.125 kg CO2e</w:t>
      </w:r>
    </w:p>
    <w:p>
      <w:pPr>
        <w:numPr>
          <w:ilvl w:val="0"/>
          <w:numId w:val="1008"/>
        </w:numPr>
        <w:pStyle w:val="Compact"/>
      </w:pPr>
      <w:r>
        <w:rPr>
          <w:bCs/>
          <w:b/>
        </w:rPr>
        <w:t xml:space="preserve">Total Scope 2 Emissions (Illustrative):</w:t>
      </w:r>
      <w:r>
        <w:t xml:space="preserve"> </w:t>
      </w:r>
      <w:r>
        <w:t xml:space="preserve">1.5 kg CO2e + 0.125 kg CO2e = 1.625 kg CO2e</w:t>
      </w:r>
    </w:p>
    <w:bookmarkEnd w:id="32"/>
    <w:bookmarkStart w:id="37" w:name="scope-3-value-chain-emissions"/>
    <w:p>
      <w:pPr>
        <w:pStyle w:val="Heading4"/>
      </w:pPr>
      <w:r>
        <w:t xml:space="preserve">Scope 3: Value Chain Emissions</w:t>
      </w:r>
    </w:p>
    <w:p>
      <w:pPr>
        <w:pStyle w:val="FirstParagraph"/>
      </w:pPr>
      <w:r>
        <w:t xml:space="preserve">This category covers all other indirect emissions upstream and downstream of the company\'s direct operations, ensuring at least 95% coverage as per 2026 requirements.</w:t>
      </w:r>
    </w:p>
    <w:bookmarkStart w:id="33" w:name="Xab9729a0caae076ca89f2f71668734f92723cf2"/>
    <w:p>
      <w:pPr>
        <w:pStyle w:val="Heading5"/>
      </w:pPr>
      <w:r>
        <w:t xml:space="preserve">Category 1: Purchased Goods and Services (Materials)</w:t>
      </w:r>
    </w:p>
    <w:p>
      <w:pPr>
        <w:pStyle w:val="FirstParagraph"/>
      </w:pPr>
      <w:r>
        <w:t xml:space="preserve">Based on the illustrative BOM data:</w:t>
      </w:r>
    </w:p>
    <w:p>
      <w:pPr>
        <w:numPr>
          <w:ilvl w:val="0"/>
          <w:numId w:val="1009"/>
        </w:numPr>
        <w:pStyle w:val="Compact"/>
      </w:pPr>
      <w:r>
        <w:t xml:space="preserve">Alloyed Steel Casing: 3.30 kg CO2e</w:t>
      </w:r>
    </w:p>
    <w:p>
      <w:pPr>
        <w:numPr>
          <w:ilvl w:val="0"/>
          <w:numId w:val="1009"/>
        </w:numPr>
        <w:pStyle w:val="Compact"/>
      </w:pPr>
      <w:r>
        <w:t xml:space="preserve">Recycled ABS Plastic: 1.36 kg CO2e</w:t>
      </w:r>
    </w:p>
    <w:p>
      <w:pPr>
        <w:numPr>
          <w:ilvl w:val="0"/>
          <w:numId w:val="1009"/>
        </w:numPr>
        <w:pStyle w:val="Compact"/>
      </w:pPr>
      <w:r>
        <w:t xml:space="preserve">Copper Wiring: 0.62 kg CO2e</w:t>
      </w:r>
    </w:p>
    <w:p>
      <w:pPr>
        <w:numPr>
          <w:ilvl w:val="0"/>
          <w:numId w:val="1009"/>
        </w:numPr>
        <w:pStyle w:val="Compact"/>
      </w:pPr>
      <w:r>
        <w:t xml:space="preserve">Silicon Chipset: 0.75 kg CO2e</w:t>
      </w:r>
    </w:p>
    <w:p>
      <w:pPr>
        <w:numPr>
          <w:ilvl w:val="0"/>
          <w:numId w:val="1009"/>
        </w:numPr>
        <w:pStyle w:val="Compact"/>
      </w:pPr>
      <w:r>
        <w:t xml:space="preserve">Lithium-ion Battery Pack: 3.60 kg CO2e</w:t>
      </w:r>
    </w:p>
    <w:p>
      <w:pPr>
        <w:numPr>
          <w:ilvl w:val="0"/>
          <w:numId w:val="1009"/>
        </w:numPr>
        <w:pStyle w:val="Compact"/>
      </w:pPr>
      <w:r>
        <w:rPr>
          <w:bCs/>
          <w:b/>
        </w:rPr>
        <w:t xml:space="preserve">Total Scope 3 - Materials (Illustrative):</w:t>
      </w:r>
      <w:r>
        <w:t xml:space="preserve"> </w:t>
      </w:r>
      <w:r>
        <w:t xml:space="preserve">3.30 + 1.36 + 0.62 + 0.75 + 3.60 = 9.63 kg CO2e</w:t>
      </w:r>
    </w:p>
    <w:bookmarkEnd w:id="33"/>
    <w:bookmarkStart w:id="34" w:name="Xe89e0a56fad43ffa0ef954ec8eb4af10b66d99f"/>
    <w:p>
      <w:pPr>
        <w:pStyle w:val="Heading5"/>
      </w:pPr>
      <w:r>
        <w:t xml:space="preserve">Category 4 &amp; 9: Transportation and Distribution (Upstream &amp; Downstream)</w:t>
      </w:r>
    </w:p>
    <w:p>
      <w:pPr>
        <w:pStyle w:val="FirstParagraph"/>
      </w:pPr>
      <w:r>
        <w:t xml:space="preserve">Assuming raw materials are transported via Ocean Freight to China, and finished goods are distributed via Road Freight and Last-Mile Delivery.</w:t>
      </w:r>
    </w:p>
    <w:p>
      <w:pPr>
        <w:numPr>
          <w:ilvl w:val="0"/>
          <w:numId w:val="1010"/>
        </w:numPr>
        <w:pStyle w:val="Compact"/>
      </w:pPr>
      <w:r>
        <w:t xml:space="preserve">Upstream Transport (Illustrative: Ocean Freight for 10,000 km, assuming 2 kg total material weight): 2 kg * 10,000 km * 0.01 kg CO2e/tonne-km / 1000 = 0.2 kg CO2e</w:t>
      </w:r>
    </w:p>
    <w:p>
      <w:pPr>
        <w:numPr>
          <w:ilvl w:val="0"/>
          <w:numId w:val="1010"/>
        </w:numPr>
        <w:pStyle w:val="Compact"/>
      </w:pPr>
      <w:r>
        <w:t xml:space="preserve">Downstream Transport (Illustrative: Road Freight from factory to distribution hub, 500 km, 1 unit lpftmzzgfx = ~3 kg): 3 kg * 500 km * 0.1 kg CO2e/tonne-km / 1000 = 0.15 kg CO2e</w:t>
      </w:r>
    </w:p>
    <w:p>
      <w:pPr>
        <w:numPr>
          <w:ilvl w:val="0"/>
          <w:numId w:val="1010"/>
        </w:numPr>
        <w:pStyle w:val="Compact"/>
      </w:pPr>
      <w:r>
        <w:t xml:space="preserve">Last-Mile Delivery (Delivery Type: Van Delivery, illustrative 0.5 kg CO2e/delivery): 0.5 kg CO2e</w:t>
      </w:r>
    </w:p>
    <w:p>
      <w:pPr>
        <w:numPr>
          <w:ilvl w:val="0"/>
          <w:numId w:val="1010"/>
        </w:numPr>
        <w:pStyle w:val="Compact"/>
      </w:pPr>
      <w:r>
        <w:rPr>
          <w:bCs/>
          <w:b/>
        </w:rPr>
        <w:t xml:space="preserve">Total Scope 3 - Transport (Illustrative):</w:t>
      </w:r>
      <w:r>
        <w:t xml:space="preserve"> </w:t>
      </w:r>
      <w:r>
        <w:t xml:space="preserve">0.2 + 0.15 + 0.5 = 0.85 kg CO2e</w:t>
      </w:r>
    </w:p>
    <w:bookmarkEnd w:id="34"/>
    <w:bookmarkStart w:id="35" w:name="category-11-use-of-sold-products"/>
    <w:p>
      <w:pPr>
        <w:pStyle w:val="Heading5"/>
      </w:pPr>
      <w:r>
        <w:t xml:space="preserve">Category 11: Use of Sold Products</w:t>
      </w:r>
    </w:p>
    <w:p>
      <w:pPr>
        <w:pStyle w:val="FirstParagraph"/>
      </w:pPr>
      <w:r>
        <w:t xml:space="preserve">Calculated based on product lifespan and energy consumption during use.</w:t>
      </w:r>
    </w:p>
    <w:p>
      <w:pPr>
        <w:numPr>
          <w:ilvl w:val="0"/>
          <w:numId w:val="1011"/>
        </w:numPr>
        <w:pStyle w:val="Compact"/>
      </w:pPr>
      <w:r>
        <w:t xml:space="preserve">Product Lifespan (onyhlvoldy): 5 years (Illustrative)</w:t>
      </w:r>
    </w:p>
    <w:p>
      <w:pPr>
        <w:numPr>
          <w:ilvl w:val="0"/>
          <w:numId w:val="1011"/>
        </w:numPr>
        <w:pStyle w:val="Compact"/>
      </w:pPr>
      <w:r>
        <w:t xml:space="preserve">Energy Consumption in Use (qemlonuojw): 10 kWh/year (Illustrative)</w:t>
      </w:r>
    </w:p>
    <w:p>
      <w:pPr>
        <w:numPr>
          <w:ilvl w:val="0"/>
          <w:numId w:val="1011"/>
        </w:numPr>
        <w:pStyle w:val="Compact"/>
      </w:pPr>
      <w:r>
        <w:t xml:space="preserve">Total Use Phase Energy: 5 years * 10 kWh/year = 50 kWh</w:t>
      </w:r>
    </w:p>
    <w:p>
      <w:pPr>
        <w:numPr>
          <w:ilvl w:val="0"/>
          <w:numId w:val="1011"/>
        </w:numPr>
        <w:pStyle w:val="Compact"/>
      </w:pPr>
      <w:r>
        <w:t xml:space="preserve">Emissions from Use Phase: 50 kWh * 0.6 kg CO2e/kWh (China Grid EF) = 30.0 kg CO2e</w:t>
      </w:r>
    </w:p>
    <w:p>
      <w:pPr>
        <w:numPr>
          <w:ilvl w:val="0"/>
          <w:numId w:val="1011"/>
        </w:numPr>
        <w:pStyle w:val="Compact"/>
      </w:pPr>
      <w:r>
        <w:rPr>
          <w:bCs/>
          <w:b/>
        </w:rPr>
        <w:t xml:space="preserve">Total Scope 3 - Use Phase (Illustrative):</w:t>
      </w:r>
      <w:r>
        <w:t xml:space="preserve"> </w:t>
      </w:r>
      <w:r>
        <w:t xml:space="preserve">30.0 kg CO2e</w:t>
      </w:r>
    </w:p>
    <w:bookmarkEnd w:id="35"/>
    <w:bookmarkStart w:id="36" w:name="X9f66eef2700632e081dfe139021cb724ffcd2c5"/>
    <w:p>
      <w:pPr>
        <w:pStyle w:val="Heading5"/>
      </w:pPr>
      <w:r>
        <w:t xml:space="preserve">Category 12: End-of-Life Treatment of Sold Products</w:t>
      </w:r>
    </w:p>
    <w:p>
      <w:pPr>
        <w:pStyle w:val="FirstParagraph"/>
      </w:pPr>
      <w:r>
        <w:t xml:space="preserve">Based on recyclability percentage and circular programs.</w:t>
      </w:r>
    </w:p>
    <w:p>
      <w:pPr>
        <w:numPr>
          <w:ilvl w:val="0"/>
          <w:numId w:val="1012"/>
        </w:numPr>
        <w:pStyle w:val="Compact"/>
      </w:pPr>
      <w:r>
        <w:t xml:space="preserve">Recyclability Percentage (zloowuznen): 70% (Illustrative)</w:t>
      </w:r>
    </w:p>
    <w:p>
      <w:pPr>
        <w:numPr>
          <w:ilvl w:val="0"/>
          <w:numId w:val="1012"/>
        </w:numPr>
        <w:pStyle w:val="Compact"/>
      </w:pPr>
      <w:r>
        <w:t xml:space="preserve">Circular Programs (tysgxrmrgt): Yes, Producer Responsibility Scheme (Illustrative)</w:t>
      </w:r>
    </w:p>
    <w:p>
      <w:pPr>
        <w:numPr>
          <w:ilvl w:val="0"/>
          <w:numId w:val="1012"/>
        </w:numPr>
        <w:pStyle w:val="Compact"/>
      </w:pPr>
      <w:r>
        <w:t xml:space="preserve">Total product weight (Illustrative): 3 kg</w:t>
      </w:r>
    </w:p>
    <w:p>
      <w:pPr>
        <w:numPr>
          <w:ilvl w:val="0"/>
          <w:numId w:val="1012"/>
        </w:numPr>
        <w:pStyle w:val="Compact"/>
      </w:pPr>
      <w:r>
        <w:t xml:space="preserve">Recycled portion: 3 kg * 0.70 = 2.1 kg</w:t>
      </w:r>
    </w:p>
    <w:p>
      <w:pPr>
        <w:numPr>
          <w:ilvl w:val="0"/>
          <w:numId w:val="1012"/>
        </w:numPr>
        <w:pStyle w:val="Compact"/>
      </w:pPr>
      <w:r>
        <w:t xml:space="preserve">Non-recycled portion: 3 kg * 0.30 = 0.9 kg</w:t>
      </w:r>
    </w:p>
    <w:p>
      <w:pPr>
        <w:numPr>
          <w:ilvl w:val="0"/>
          <w:numId w:val="1012"/>
        </w:numPr>
        <w:pStyle w:val="Compact"/>
      </w:pPr>
      <w:r>
        <w:t xml:space="preserve">Emissions from non-recycled waste (Illustrative: plastic to landfill EF): 0.9 kg * 3.0 kg CO2e/kg = 2.7 kg CO2e</w:t>
      </w:r>
    </w:p>
    <w:p>
      <w:pPr>
        <w:numPr>
          <w:ilvl w:val="0"/>
          <w:numId w:val="1012"/>
        </w:numPr>
        <w:pStyle w:val="Compact"/>
      </w:pPr>
      <w:r>
        <w:t xml:space="preserve">Avoided emissions from recycling (Illustrative: assuming metal recycling displaces virgin material): -2.1 kg * 1.5 kg CO2e/kg (average credit) = -3.15 kg CO2e</w:t>
      </w:r>
    </w:p>
    <w:p>
      <w:pPr>
        <w:numPr>
          <w:ilvl w:val="0"/>
          <w:numId w:val="1012"/>
        </w:numPr>
        <w:pStyle w:val="Compact"/>
      </w:pPr>
      <w:r>
        <w:rPr>
          <w:bCs/>
          <w:b/>
        </w:rPr>
        <w:t xml:space="preserve">Total Scope 3 - End-of-Life (Illustrative):</w:t>
      </w:r>
      <w:r>
        <w:t xml:space="preserve"> </w:t>
      </w:r>
      <w:r>
        <w:t xml:space="preserve">2.7 - 3.15 = -0.45 kg CO2e (A negative value indicates a net carbon removal/avoidance due to recycling benefits).</w:t>
      </w:r>
    </w:p>
    <w:bookmarkEnd w:id="36"/>
    <w:bookmarkEnd w:id="37"/>
    <w:bookmarkStart w:id="38" w:name="X439aeab12f653c5be8a9767687610423a65f1bc"/>
    <w:p>
      <w:pPr>
        <w:pStyle w:val="Heading4"/>
      </w:pPr>
      <w:r>
        <w:t xml:space="preserve">2026 LSR Update: Land Sector and Removals (LSR) Standard</w:t>
      </w:r>
    </w:p>
    <w:p>
      <w:pPr>
        <w:pStyle w:val="FirstParagraph"/>
      </w:pPr>
      <w:r>
        <w:t xml:space="preserve">The GHG Protocol\'s 2026 LSR Standard is crucial for accounting for land use change and carbon removals. Without specific primary data on land use changes related to raw material extraction (e.g., deforestation for specific agricultural products or mining sites), direct quantification of LSR is challenging with the provided parameters. However, the principle would involve:</w:t>
      </w:r>
    </w:p>
    <w:p>
      <w:pPr>
        <w:numPr>
          <w:ilvl w:val="0"/>
          <w:numId w:val="1013"/>
        </w:numPr>
        <w:pStyle w:val="Compact"/>
      </w:pPr>
      <w:r>
        <w:t xml:space="preserve">Quantifying GHG emissions and removals from land use and land-use change activities related to sourcing raw materials (e.g., changes in forest carbon stocks due to timber harvesting, or soil carbon changes from agricultural practices).</w:t>
      </w:r>
    </w:p>
    <w:p>
      <w:pPr>
        <w:numPr>
          <w:ilvl w:val="0"/>
          <w:numId w:val="1013"/>
        </w:numPr>
        <w:pStyle w:val="Compact"/>
      </w:pPr>
      <w:r>
        <w:t xml:space="preserve">Accounting for biogenic carbon removals if the product incorporates bio-based materials that act as carbon sinks over their lifespan.</w:t>
      </w:r>
    </w:p>
    <w:p>
      <w:pPr>
        <w:pStyle w:val="FirstParagraph"/>
      </w:pPr>
      <w:r>
        <w:t xml:space="preserve">For this illustrative analysis, we acknowledge the importance of the LSR Standard. If primary data indicating land-use change or biogenic carbon sequestration were available for "hfidojfz" components, it would be integrated here. Given the nature of the example BOM (metals, plastics, semiconductors), significant direct land-use change emissions specific to the LSR standard are less likely than for bio-based products, but embodied impacts in raw material supply chains are included in the Scope 3 calculations.</w:t>
      </w:r>
    </w:p>
    <w:bookmarkEnd w:id="38"/>
    <w:bookmarkStart w:id="39" w:name="scope-3-compliance-95-coverage"/>
    <w:p>
      <w:pPr>
        <w:pStyle w:val="Heading4"/>
      </w:pPr>
      <w:r>
        <w:t xml:space="preserve">Scope 3 Compliance: &gt;95% Coverage</w:t>
      </w:r>
    </w:p>
    <w:p>
      <w:pPr>
        <w:pStyle w:val="FirstParagraph"/>
      </w:pPr>
      <w:r>
        <w:t xml:space="preserve">This analysis, by considering purchased goods (materials), transportation (upstream and downstream), use phase, and end-of-life, aims to cover the most significant categories of Scope 3 emissions. Based on typical product lifecycles, these categories usually represent the vast majority of a product\'s value chain footprint. To ensure &gt;95% coverage, a materiality assessment of all 15 Scope 3 categories would be performed in a full real-world assessment, with efforts to collect data for any identified significant categories not explicitly covered here (e.g., capital goods, business travel if relevant to product development, etc.). The illustrative calculations demonstrate a comprehensive approach to meet this requirement.</w:t>
      </w:r>
    </w:p>
    <w:bookmarkEnd w:id="39"/>
    <w:bookmarkEnd w:id="40"/>
    <w:bookmarkStart w:id="41" w:name="X67104e9a7d5a0cb78525039e99621cdb360e9d8"/>
    <w:p>
      <w:pPr>
        <w:pStyle w:val="Heading3"/>
      </w:pPr>
      <w:r>
        <w:t xml:space="preserve">Overall Product Carbon Footprint (Illustrative)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 / Category</w:t>
            </w:r>
          </w:p>
        </w:tc>
        <w:tc>
          <w:tcPr/>
          <w:p>
            <w:pPr>
              <w:pStyle w:val="Compact"/>
              <w:jc w:val="left"/>
            </w:pPr>
            <w:r>
              <w:t xml:space="preserve">Illustrative Emissions (kg CO2e per functional unit)</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Energy</w:t>
            </w:r>
          </w:p>
        </w:tc>
        <w:tc>
          <w:tcPr/>
          <w:p>
            <w:pPr>
              <w:pStyle w:val="Compact"/>
              <w:jc w:val="left"/>
            </w:pPr>
            <w:r>
              <w:t xml:space="preserve">1.63</w:t>
            </w:r>
          </w:p>
        </w:tc>
      </w:tr>
      <w:tr>
        <w:tc>
          <w:tcPr>
            <w:gridSpan w:val="2"/>
          </w:tcPr>
          <w:p>
            <w:pPr>
              <w:pStyle w:val="Compact"/>
              <w:jc w:val="left"/>
            </w:pPr>
            <w:r>
              <w:rPr>
                <w:bCs/>
                <w:b/>
              </w:rPr>
              <w:t xml:space="preserve">Scope 3: Value Chain Emissions</w:t>
            </w:r>
          </w:p>
        </w:tc>
      </w:tr>
      <w:tr>
        <w:tc>
          <w:tcPr/>
          <w:p>
            <w:pPr>
              <w:pStyle w:val="Compact"/>
              <w:jc w:val="left"/>
            </w:pPr>
            <w:r>
              <w:t xml:space="preserve">    Purchased Goods &amp; Services (Materials)</w:t>
            </w:r>
          </w:p>
        </w:tc>
        <w:tc>
          <w:tcPr/>
          <w:p>
            <w:pPr>
              <w:pStyle w:val="Compact"/>
              <w:jc w:val="left"/>
            </w:pPr>
            <w:r>
              <w:t xml:space="preserve">9.63</w:t>
            </w:r>
          </w:p>
        </w:tc>
      </w:tr>
      <w:tr>
        <w:tc>
          <w:tcPr/>
          <w:p>
            <w:pPr>
              <w:pStyle w:val="Compact"/>
              <w:jc w:val="left"/>
            </w:pPr>
            <w:r>
              <w:t xml:space="preserve">    Transportation &amp; Distribution (Upstream &amp; Downstream)</w:t>
            </w:r>
          </w:p>
        </w:tc>
        <w:tc>
          <w:tcPr/>
          <w:p>
            <w:pPr>
              <w:pStyle w:val="Compact"/>
              <w:jc w:val="left"/>
            </w:pPr>
            <w:r>
              <w:t xml:space="preserve">0.85</w:t>
            </w:r>
          </w:p>
        </w:tc>
      </w:tr>
      <w:tr>
        <w:tc>
          <w:tcPr/>
          <w:p>
            <w:pPr>
              <w:pStyle w:val="Compact"/>
              <w:jc w:val="left"/>
            </w:pPr>
            <w:r>
              <w:t xml:space="preserve">    Use of Sold Products</w:t>
            </w:r>
          </w:p>
        </w:tc>
        <w:tc>
          <w:tcPr/>
          <w:p>
            <w:pPr>
              <w:pStyle w:val="Compact"/>
              <w:jc w:val="left"/>
            </w:pPr>
            <w:r>
              <w:t xml:space="preserve">30.00</w:t>
            </w:r>
          </w:p>
        </w:tc>
      </w:tr>
      <w:tr>
        <w:tc>
          <w:tcPr/>
          <w:p>
            <w:pPr>
              <w:pStyle w:val="Compact"/>
              <w:jc w:val="left"/>
            </w:pPr>
            <w:r>
              <w:t xml:space="preserve">    End-of-Life Treatment of Sold Products</w:t>
            </w:r>
          </w:p>
        </w:tc>
        <w:tc>
          <w:tcPr/>
          <w:p>
            <w:pPr>
              <w:pStyle w:val="Compact"/>
              <w:jc w:val="left"/>
            </w:pPr>
            <w:r>
              <w:t xml:space="preserve">-0.45</w:t>
            </w:r>
          </w:p>
        </w:tc>
      </w:tr>
      <w:tr>
        <w:tc>
          <w:tcPr/>
          <w:p>
            <w:pPr>
              <w:pStyle w:val="Compact"/>
              <w:jc w:val="left"/>
            </w:pPr>
            <w:r>
              <w:rPr>
                <w:bCs/>
                <w:b/>
              </w:rPr>
              <w:t xml:space="preserve">Total Product Carbon Footprint (Illustrative)</w:t>
            </w:r>
          </w:p>
        </w:tc>
        <w:tc>
          <w:tcPr/>
          <w:p>
            <w:pPr>
              <w:pStyle w:val="Compact"/>
              <w:jc w:val="left"/>
            </w:pPr>
            <w:r>
              <w:rPr>
                <w:bCs/>
                <w:b/>
              </w:rPr>
              <w:t xml:space="preserve">41.66 kg CO2e</w:t>
            </w:r>
          </w:p>
        </w:tc>
      </w:tr>
    </w:tbl>
    <w:p>
      <w:pPr>
        <w:pStyle w:val="BodyText"/>
      </w:pPr>
      <w:r>
        <w:rPr>
          <w:iCs/>
          <w:i/>
        </w:rPr>
        <w:t xml:space="preserve">Note: All calculations are illustrative, based on assumed data and generic emission factors. Actual values require precise primary data and verified emission factors.</w:t>
      </w:r>
    </w:p>
    <w:p>
      <w:r>
        <w:pict>
          <v:rect style="width:0;height:1.5pt" o:hralign="center" o:hrstd="t" o:hr="t"/>
        </w:pict>
      </w:r>
    </w:p>
    <w:bookmarkEnd w:id="41"/>
    <w:bookmarkEnd w:id="42"/>
    <w:bookmarkStart w:id="46" w:name="review-report"/>
    <w:p>
      <w:pPr>
        <w:pStyle w:val="Heading2"/>
      </w:pPr>
      <w:r>
        <w:t xml:space="preserve">5. Review &amp; Report</w:t>
      </w:r>
    </w:p>
    <w:bookmarkStart w:id="43" w:name="identified-hotspots-illustrative"/>
    <w:p>
      <w:pPr>
        <w:pStyle w:val="Heading3"/>
      </w:pPr>
      <w:r>
        <w:t xml:space="preserve">Identified Hotspots (Illustrative)</w:t>
      </w:r>
    </w:p>
    <w:p>
      <w:pPr>
        <w:pStyle w:val="FirstParagraph"/>
      </w:pPr>
      <w:r>
        <w:t xml:space="preserve">Based on the illustrative calculations, the primary hotspots for the lpftmzzgfx product are:</w:t>
      </w:r>
    </w:p>
    <w:p>
      <w:pPr>
        <w:numPr>
          <w:ilvl w:val="0"/>
          <w:numId w:val="1014"/>
        </w:numPr>
        <w:pStyle w:val="Compact"/>
      </w:pPr>
      <w:r>
        <w:rPr>
          <w:bCs/>
          <w:b/>
        </w:rPr>
        <w:t xml:space="preserve">Use Phase (Approx. 72% of total PCF):</w:t>
      </w:r>
      <w:r>
        <w:t xml:space="preserve"> </w:t>
      </w:r>
      <w:r>
        <w:t xml:space="preserve">The energy consumption during the product\'s lifespan is the single largest contributor to its carbon footprint. This highlights the importance of energy efficiency during product design and consumer usage patterns.</w:t>
      </w:r>
    </w:p>
    <w:p>
      <w:pPr>
        <w:numPr>
          <w:ilvl w:val="0"/>
          <w:numId w:val="1014"/>
        </w:numPr>
        <w:pStyle w:val="Compact"/>
      </w:pPr>
      <w:r>
        <w:rPr>
          <w:bCs/>
          <w:b/>
        </w:rPr>
        <w:t xml:space="preserve">Purchased Goods &amp; Services (Materials) (Approx. 23% of total PCF):</w:t>
      </w:r>
      <w:r>
        <w:t xml:space="preserve"> </w:t>
      </w:r>
      <w:r>
        <w:t xml:space="preserve">The embodied emissions in raw materials, particularly the battery pack and steel casing in our illustrative BOM, represent the second largest impact. Sourcing lower-impact materials or materials with higher recycled content would be beneficial.</w:t>
      </w:r>
    </w:p>
    <w:p>
      <w:pPr>
        <w:numPr>
          <w:ilvl w:val="0"/>
          <w:numId w:val="1014"/>
        </w:numPr>
        <w:pStyle w:val="Compact"/>
      </w:pPr>
      <w:r>
        <w:rPr>
          <w:bCs/>
          <w:b/>
        </w:rPr>
        <w:t xml:space="preserve">Production Energy (Scope 2) (Approx. 4% of total PCF):</w:t>
      </w:r>
      <w:r>
        <w:t xml:space="preserve"> </w:t>
      </w:r>
      <w:r>
        <w:t xml:space="preserve">While smaller, the electricity used in manufacturing still presents an opportunity for reduction, especially by increasing renewable energy usage beyond the illustrative 50%.</w:t>
      </w:r>
    </w:p>
    <w:bookmarkEnd w:id="43"/>
    <w:bookmarkStart w:id="44" w:name="data-reliability"/>
    <w:p>
      <w:pPr>
        <w:pStyle w:val="Heading3"/>
      </w:pPr>
      <w:r>
        <w:t xml:space="preserve">Data Reliability</w:t>
      </w:r>
    </w:p>
    <w:p>
      <w:pPr>
        <w:pStyle w:val="FirstParagraph"/>
      </w:pPr>
      <w:r>
        <w:t xml:space="preserve">The reliability of this PCF analysis is contingent upon the accuracy and specificity of the input data. For this report, placeholder strings for critical parameters ("hfidojfz", "Select Mode", "jkozitfkvx", "Delivery Type", "jojggnghej", "trkhdduigs", "onyhlvoldy", "qemlonuojw", "zloowuznen", "tysgxrmrgt") necessitated the use of illustrative examples and generic emission factors. In a real-world scenario, zjeogpejon would need to provide specific, verifiable primary data for each material, energy input, transport leg, and product-use characteristic to achieve high data reliability. Secondary data from reputable databases (Ecoinvent, DEFRA) are generally considered reliable for generic processes.</w:t>
      </w:r>
    </w:p>
    <w:bookmarkEnd w:id="44"/>
    <w:bookmarkStart w:id="45" w:name="recommendations-for-carbon-reduction"/>
    <w:p>
      <w:pPr>
        <w:pStyle w:val="Heading3"/>
      </w:pPr>
      <w:r>
        <w:t xml:space="preserve">Recommendations for Carbon Reduction</w:t>
      </w:r>
    </w:p>
    <w:p>
      <w:pPr>
        <w:pStyle w:val="FirstParagraph"/>
      </w:pPr>
      <w:r>
        <w:t xml:space="preserve">To reduce the carbon footprint of lpftmzzgfx, zjeogpejon should consider the following:</w:t>
      </w:r>
    </w:p>
    <w:p>
      <w:pPr>
        <w:numPr>
          <w:ilvl w:val="0"/>
          <w:numId w:val="1015"/>
        </w:numPr>
        <w:pStyle w:val="Compact"/>
      </w:pPr>
      <w:r>
        <w:rPr>
          <w:bCs/>
          <w:b/>
        </w:rPr>
        <w:t xml:space="preserve">Energy Efficiency in Use:</w:t>
      </w:r>
      <w:r>
        <w:t xml:space="preserve"> </w:t>
      </w:r>
      <w:r>
        <w:t xml:space="preserve">Focus on redesigning lpftmzzgfx to drastically reduce its energy consumption during the use phase. This could involve more efficient components, standby modes, or intelligent power management systems.</w:t>
      </w:r>
    </w:p>
    <w:p>
      <w:pPr>
        <w:numPr>
          <w:ilvl w:val="0"/>
          <w:numId w:val="1015"/>
        </w:numPr>
        <w:pStyle w:val="Compact"/>
      </w:pPr>
      <w:r>
        <w:rPr>
          <w:bCs/>
          <w:b/>
        </w:rPr>
        <w:t xml:space="preserve">Renewable Energy Sourcing:</w:t>
      </w:r>
      <w:r>
        <w:t xml:space="preserve"> </w:t>
      </w:r>
      <w:r>
        <w:t xml:space="preserve">Increase the percentage of renewable energy used in the manufacturing facilities, aiming for 100% certified renewable electricity.</w:t>
      </w:r>
    </w:p>
    <w:p>
      <w:pPr>
        <w:numPr>
          <w:ilvl w:val="0"/>
          <w:numId w:val="1015"/>
        </w:numPr>
        <w:pStyle w:val="Compact"/>
      </w:pPr>
      <w:r>
        <w:rPr>
          <w:bCs/>
          <w:b/>
        </w:rPr>
        <w:t xml:space="preserve">Sustainable Material Sourcing:</w:t>
      </w:r>
      <w:r>
        <w:t xml:space="preserve"> </w:t>
      </w:r>
      <w:r>
        <w:t xml:space="preserve">Explore alternative materials with lower embodied carbon, higher recycled content, or materials sourced from suppliers with transparent, low-carbon production processes. Optimize material use to reduce overall quantity.</w:t>
      </w:r>
    </w:p>
    <w:p>
      <w:pPr>
        <w:numPr>
          <w:ilvl w:val="0"/>
          <w:numId w:val="1015"/>
        </w:numPr>
        <w:pStyle w:val="Compact"/>
      </w:pPr>
      <w:r>
        <w:rPr>
          <w:bCs/>
          <w:b/>
        </w:rPr>
        <w:t xml:space="preserve">Logistics Optimization:</w:t>
      </w:r>
      <w:r>
        <w:t xml:space="preserve"> </w:t>
      </w:r>
      <w:r>
        <w:t xml:space="preserve">Optimize transport routes, modes (prioritizing lower-emission options like sea or rail over air/road where feasible), and consolidate shipments to reduce transportation emissions.</w:t>
      </w:r>
    </w:p>
    <w:p>
      <w:pPr>
        <w:numPr>
          <w:ilvl w:val="0"/>
          <w:numId w:val="1015"/>
        </w:numPr>
        <w:pStyle w:val="Compact"/>
      </w:pPr>
      <w:r>
        <w:rPr>
          <w:bCs/>
          <w:b/>
        </w:rPr>
        <w:t xml:space="preserve">Enhanced Circularity:</w:t>
      </w:r>
      <w:r>
        <w:t xml:space="preserve"> </w:t>
      </w:r>
      <w:r>
        <w:t xml:space="preserve">Strengthen existing circular/take-back programs to maximize the recyclability and reuse of lpftmzzgfx components, effectively extending product lifecycles and reducing the need for virgin materials.</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lpftmzzgfx</dc:title>
  <dc:creator/>
  <dc:description>Detailed Product Carbon Footprint (PCF) analysis report for lpftmzzgfx by zjeogpejon, adhering to GHG Protocol standards and 2026 LSR updates.</dc:description>
  <dc:language>en</dc:language>
  <cp:keywords/>
  <dcterms:created xsi:type="dcterms:W3CDTF">2026-07-15T04:54:31Z</dcterms:created>
  <dcterms:modified xsi:type="dcterms:W3CDTF">2026-07-15T04:54:31Z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