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lpeeserngy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lpeeserngy</w:t>
      </w:r>
    </w:p>
    <w:p>
      <w:pPr>
        <w:pStyle w:val="BodyText"/>
      </w:pPr>
      <w:r>
        <w:rPr>
          <w:bCs/>
          <w:b/>
        </w:rPr>
        <w:t xml:space="preserve">Company Name:</w:t>
      </w:r>
      <w:r>
        <w:t xml:space="preserve"> </w:t>
      </w:r>
      <w:r>
        <w:t xml:space="preserve">hutudifoik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uzuhkfejen</w:t>
      </w:r>
    </w:p>
    <w:p>
      <w:pPr>
        <w:pStyle w:val="BodyText"/>
      </w:pPr>
      <w:r>
        <w:t xml:space="preserve">This report is generated based on available data and industry standards. While every effort has been made to ensure accuracy, the actual carbon footprint may vary depending on real-time operational specifics and data granularity.</w:t>
      </w:r>
    </w:p>
    <w:bookmarkEnd w:id="20"/>
    <w:bookmarkStart w:id="21" w:name="X372fc0ed3083633a33c07e6e020cbcd31660171"/>
    <w:p>
      <w:pPr>
        <w:pStyle w:val="Heading1"/>
      </w:pPr>
      <w:r>
        <w:t xml:space="preserve">Product Carbon Footprint Report for lpeeserngy</w:t>
      </w:r>
    </w:p>
    <w:p>
      <w:pPr>
        <w:pStyle w:val="FirstParagraph"/>
      </w:pPr>
      <w:r>
        <w:t xml:space="preserve">Generated Date:</w:t>
      </w:r>
    </w:p>
    <w:bookmarkEnd w:id="21"/>
    <w:bookmarkStart w:id="22" w:name="executive-summary"/>
    <w:p>
      <w:pPr>
        <w:pStyle w:val="Heading2"/>
      </w:pPr>
      <w:r>
        <w:t xml:space="preserve">Executive Summary</w:t>
      </w:r>
    </w:p>
    <w:p>
      <w:pPr>
        <w:pStyle w:val="FirstParagraph"/>
      </w:pPr>
      <w:r>
        <w:t xml:space="preserve">This Product Carbon Footprint (PCF) analysis provides a comprehensive assessment of the greenhouse gas (GHG) emissions associated with \'lpeeserngy\', manufactured by hutudifoik. Conducted by uzuhkfejen, Senior Sustainability Consultant, and adhering strictly to the GHG Protocol, this report covers the product\'s lifecycle from material extraction to end-of-life, with a specific focus on a factory-gate system boundary for direct manufacturing emissions and a Europe-focused supply chain for upstream impacts. The analysis incorporates the 2026 Land Sector and Removals (LSR) Standard and ensures high Scope 3 coverage. Key emission hotspots are identified across material procurement, manufacturing, transport, use, and end-of-life phases, providing hutudifoik with actionable insights for emission reduction strategies.</w:t>
      </w:r>
    </w:p>
    <w:bookmarkEnd w:id="22"/>
    <w:p>
      <w:r>
        <w:pict>
          <v:rect style="width:0;height:1.5pt" o:hralign="center" o:hrstd="t" o:hr="t"/>
        </w:pict>
      </w:r>
    </w:p>
    <w:bookmarkStart w:id="43" w:name="methodology"/>
    <w:p>
      <w:pPr>
        <w:pStyle w:val="Heading2"/>
      </w:pPr>
      <w:r>
        <w:t xml:space="preserve">Methodology</w:t>
      </w:r>
    </w:p>
    <w:p>
      <w:pPr>
        <w:pStyle w:val="FirstParagraph"/>
      </w:pPr>
      <w:r>
        <w:t xml:space="preserve">This Product Carbon Footprint (PCF) analysis adheres to the Greenhouse Gas (GHG) Protocol Product Standard, incorporating the latest 2026 Land Sector and Removals (LSR) Standard for land use and carbon removals, and ensuring at least 95% coverage for Scope 3 reporting.</w:t>
      </w:r>
    </w:p>
    <w:p>
      <w:pPr>
        <w:numPr>
          <w:ilvl w:val="0"/>
          <w:numId w:val="1001"/>
        </w:numPr>
        <w:pStyle w:val="Heading3"/>
      </w:pPr>
      <w:bookmarkStart w:id="23" w:name="define-scope"/>
      <w:r>
        <w:t xml:space="preserve">1. Define Scope</w:t>
      </w:r>
      <w:bookmarkEnd w:id="23"/>
    </w:p>
    <w:p>
      <w:pPr>
        <w:numPr>
          <w:ilvl w:val="1"/>
          <w:numId w:val="1002"/>
        </w:numPr>
        <w:pStyle w:val="Compact"/>
      </w:pPr>
      <w:r>
        <w:rPr>
          <w:bCs/>
          <w:b/>
        </w:rPr>
        <w:t xml:space="preserve">Functional Unit:</w:t>
      </w:r>
      <w:r>
        <w:t xml:space="preserve"> </w:t>
      </w:r>
      <w:r>
        <w:t xml:space="preserve">1.0 unit of lpeeserngy.</w:t>
      </w:r>
    </w:p>
    <w:p>
      <w:pPr>
        <w:numPr>
          <w:ilvl w:val="1"/>
          <w:numId w:val="1002"/>
        </w:numPr>
        <w:pStyle w:val="Compact"/>
      </w:pPr>
      <w:r>
        <w:rPr>
          <w:bCs/>
          <w:b/>
        </w:rPr>
        <w:t xml:space="preserve">System Boundary:</w:t>
      </w:r>
      <w:r>
        <w:t xml:space="preserve"> </w:t>
      </w:r>
      <w:r>
        <w:t xml:space="preserve">Factory-gate (cradle-to-gate) for direct manufacturing emissions, extended to include upstream (materials, transport) and downstream (use, end-of-life) impacts to provide a comprehensive cradle-to-grave perspective for Scope 3 reporting.</w:t>
      </w:r>
    </w:p>
    <w:p>
      <w:pPr>
        <w:numPr>
          <w:ilvl w:val="1"/>
          <w:numId w:val="1002"/>
        </w:numPr>
        <w:pStyle w:val="Compact"/>
      </w:pPr>
      <w:r>
        <w:rPr>
          <w:bCs/>
          <w:b/>
        </w:rPr>
        <w:t xml:space="preserve">Geographic Scope:</w:t>
      </w:r>
      <w:r>
        <w:t xml:space="preserve"> </w:t>
      </w:r>
      <w:r>
        <w:t xml:space="preserve">Final Production Country: China. Supply Chain Focus: Europe Focused. Use Phase and End-of-Life are assumed to primarily occur within European markets.</w:t>
      </w:r>
    </w:p>
    <w:p>
      <w:pPr>
        <w:numPr>
          <w:ilvl w:val="1"/>
          <w:numId w:val="1002"/>
        </w:numPr>
        <w:pStyle w:val="Compact"/>
      </w:pPr>
      <w:r>
        <w:rPr>
          <w:bCs/>
          <w:b/>
        </w:rPr>
        <w:t xml:space="preserve">Allocation:</w:t>
      </w:r>
      <w:r>
        <w:t xml:space="preserve"> </w:t>
      </w:r>
      <w:r>
        <w:t xml:space="preserve">Mass-based allocation is used for co-products where applicable. Recycling benefits are accounted for using the avoided burden approach for End-of-Life scenarios.</w:t>
      </w:r>
    </w:p>
    <w:p>
      <w:pPr>
        <w:numPr>
          <w:ilvl w:val="0"/>
          <w:numId w:val="1001"/>
        </w:numPr>
        <w:pStyle w:val="Heading3"/>
      </w:pPr>
      <w:bookmarkStart w:id="24" w:name="map-lifecycle-lci-inventory-stages"/>
      <w:r>
        <w:t xml:space="preserve">2. Map Lifecycle (LCI Inventory Stages)</w:t>
      </w:r>
      <w:bookmarkEnd w:id="24"/>
    </w:p>
    <w:p>
      <w:pPr>
        <w:numPr>
          <w:ilvl w:val="0"/>
          <w:numId w:val="1000"/>
        </w:numPr>
      </w:pPr>
      <w:r>
        <w:t xml:space="preserve">The lifecycle of lpeeserngy is mapped across the following stages:</w:t>
      </w:r>
    </w:p>
    <w:p>
      <w:pPr>
        <w:numPr>
          <w:ilvl w:val="1"/>
          <w:numId w:val="1003"/>
        </w:numPr>
        <w:pStyle w:val="Compact"/>
      </w:pPr>
      <w:r>
        <w:rPr>
          <w:bCs/>
          <w:b/>
        </w:rPr>
        <w:t xml:space="preserve">Materials Acquisition &amp; Pre-processing:</w:t>
      </w:r>
      <w:r>
        <w:t xml:space="preserve"> </w:t>
      </w:r>
      <w:r>
        <w:t xml:space="preserve">Extraction, processing, and production of raw materials and components (Scope 3 - Upstream).</w:t>
      </w:r>
    </w:p>
    <w:p>
      <w:pPr>
        <w:numPr>
          <w:ilvl w:val="1"/>
          <w:numId w:val="1003"/>
        </w:numPr>
        <w:pStyle w:val="Compact"/>
      </w:pPr>
      <w:r>
        <w:rPr>
          <w:bCs/>
          <w:b/>
        </w:rPr>
        <w:t xml:space="preserve">Manufacturing:</w:t>
      </w:r>
      <w:r>
        <w:t xml:space="preserve"> </w:t>
      </w:r>
      <w:r>
        <w:t xml:space="preserve">Production processes at hutudifoik\'s factory in China, including energy consumption (Scope 1, Scope 2), and waste generation (Scope 3 - Upstream/Waste).</w:t>
      </w:r>
    </w:p>
    <w:p>
      <w:pPr>
        <w:numPr>
          <w:ilvl w:val="1"/>
          <w:numId w:val="1003"/>
        </w:numPr>
        <w:pStyle w:val="Compact"/>
      </w:pPr>
      <w:r>
        <w:rPr>
          <w:bCs/>
          <w:b/>
        </w:rPr>
        <w:t xml:space="preserve">Transport (Inbound &amp; Outbound):</w:t>
      </w:r>
      <w:r>
        <w:t xml:space="preserve"> </w:t>
      </w:r>
      <w:r>
        <w:t xml:space="preserve">Transportation of raw materials to the factory, and finished product from factory to distribution centers/consumers (Scope 3 - Upstream/Downstream).</w:t>
      </w:r>
    </w:p>
    <w:p>
      <w:pPr>
        <w:numPr>
          <w:ilvl w:val="1"/>
          <w:numId w:val="1003"/>
        </w:numPr>
        <w:pStyle w:val="Compact"/>
      </w:pPr>
      <w:r>
        <w:rPr>
          <w:bCs/>
          <w:b/>
        </w:rPr>
        <w:t xml:space="preserve">Use Phase:</w:t>
      </w:r>
      <w:r>
        <w:t xml:space="preserve"> </w:t>
      </w:r>
      <w:r>
        <w:t xml:space="preserve">Energy consumption during the product\'s active lifespan by the end-user (Scope 3 - Downstream).</w:t>
      </w:r>
    </w:p>
    <w:p>
      <w:pPr>
        <w:numPr>
          <w:ilvl w:val="1"/>
          <w:numId w:val="1003"/>
        </w:numPr>
        <w:pStyle w:val="Compact"/>
      </w:pPr>
      <w:r>
        <w:rPr>
          <w:bCs/>
          <w:b/>
        </w:rPr>
        <w:t xml:space="preserve">End-of-Life (EoL):</w:t>
      </w:r>
      <w:r>
        <w:t xml:space="preserve"> </w:t>
      </w:r>
      <w:r>
        <w:t xml:space="preserve">Disposal, recycling, and treatment of the product after its useful life (Scope 3 - Downstream).</w:t>
      </w:r>
    </w:p>
    <w:p>
      <w:pPr>
        <w:numPr>
          <w:ilvl w:val="0"/>
          <w:numId w:val="1001"/>
        </w:numPr>
        <w:pStyle w:val="Heading3"/>
      </w:pPr>
      <w:bookmarkStart w:id="25" w:name="Xb57f50a89bf1f3f1837369be949d9d60d6c1272"/>
      <w:r>
        <w:t xml:space="preserve">3. Collect Data (Primary/Secondary Data Points)</w:t>
      </w:r>
      <w:bookmarkEnd w:id="25"/>
    </w:p>
    <w:p>
      <w:pPr>
        <w:numPr>
          <w:ilvl w:val="0"/>
          <w:numId w:val="1000"/>
        </w:numPr>
      </w:pPr>
      <w:r>
        <w:t xml:space="preserve">Data was collected from various sources, prioritizing primary data where available and supplementing with robust secondary data:</w:t>
      </w:r>
    </w:p>
    <w:p>
      <w:pPr>
        <w:numPr>
          <w:ilvl w:val="1"/>
          <w:numId w:val="1004"/>
        </w:numPr>
        <w:pStyle w:val="Compact"/>
      </w:pPr>
      <w:r>
        <w:rPr>
          <w:bCs/>
          <w:b/>
        </w:rPr>
        <w:t xml:space="preserve">Detailed Bill of Materials (BOM):</w:t>
      </w:r>
      <w:r>
        <w:t xml:space="preserve"> </w:t>
      </w:r>
      <w:r>
        <w:t xml:space="preserve">The provided BOM (milfrwhu) served as primary data for material composition.</w:t>
      </w:r>
    </w:p>
    <w:p>
      <w:pPr>
        <w:numPr>
          <w:ilvl w:val="1"/>
          <w:numId w:val="1004"/>
        </w:numPr>
        <w:pStyle w:val="Compact"/>
      </w:pPr>
      <w:r>
        <w:rPr>
          <w:bCs/>
          <w:b/>
        </w:rPr>
        <w:t xml:space="preserve">Energy Consumption:</w:t>
      </w:r>
      <w:r>
        <w:t xml:space="preserve"> </w:t>
      </w:r>
      <w:r>
        <w:t xml:space="preserve">Specific energy intensity (rwzemzkiez) and renewable energy usage (weqkkksvox) were used for the manufacturing phase. Energy consumption in use (xvorgvifip) was used for the use phase.</w:t>
      </w:r>
    </w:p>
    <w:p>
      <w:pPr>
        <w:numPr>
          <w:ilvl w:val="1"/>
          <w:numId w:val="1004"/>
        </w:numPr>
        <w:pStyle w:val="Compact"/>
      </w:pPr>
      <w:r>
        <w:rPr>
          <w:bCs/>
          <w:b/>
        </w:rPr>
        <w:t xml:space="preserve">Logistics Data:</w:t>
      </w:r>
      <w:r>
        <w:t xml:space="preserve"> </w:t>
      </w:r>
      <w:r>
        <w:t xml:space="preserve">Specific transport mode (Select Mode), distance (uzupigfytk), and last-mile delivery channel (Delivery Type) were incorporated.</w:t>
      </w:r>
    </w:p>
    <w:p>
      <w:pPr>
        <w:numPr>
          <w:ilvl w:val="1"/>
          <w:numId w:val="1004"/>
        </w:numPr>
        <w:pStyle w:val="Compact"/>
      </w:pPr>
      <w:r>
        <w:rPr>
          <w:bCs/>
          <w:b/>
        </w:rPr>
        <w:t xml:space="preserve">End-of-Life Data:</w:t>
      </w:r>
      <w:r>
        <w:t xml:space="preserve"> </w:t>
      </w:r>
      <w:r>
        <w:t xml:space="preserve">Recyclability percentage (hfjvmpodrl) and details on circular/take-back programs (vgzugqsuhz) were considered.</w:t>
      </w:r>
    </w:p>
    <w:p>
      <w:pPr>
        <w:numPr>
          <w:ilvl w:val="1"/>
          <w:numId w:val="1004"/>
        </w:numPr>
        <w:pStyle w:val="Compact"/>
      </w:pPr>
      <w:r>
        <w:rPr>
          <w:bCs/>
          <w:b/>
        </w:rPr>
        <w:t xml:space="preserve">Emission Factors:</w:t>
      </w:r>
      <w:r>
        <w:t xml:space="preserve"> </w:t>
      </w:r>
      <w:r>
        <w:t xml:space="preserve">Industry-standard emission factors were sourced from databases like Ecoinvent and DEFRA for generic processes, energy grids, and transportation where primary data or specific BOM emission factors were not available.</w:t>
      </w:r>
    </w:p>
    <w:p>
      <w:pPr>
        <w:numPr>
          <w:ilvl w:val="0"/>
          <w:numId w:val="1000"/>
        </w:numPr>
        <w:pStyle w:val="Heading4"/>
      </w:pPr>
      <w:bookmarkStart w:id="26" w:name="Xfd5aba2dd1f6941bf5662a65ad94e9e7b3de232"/>
      <w:r>
        <w:t xml:space="preserve">Detailed Material Inputs (Based on provided BOM)</w:t>
      </w:r>
      <w:bookmarkEnd w:id="26"/>
    </w:p>
    <w:p>
      <w:pPr>
        <w:numPr>
          <w:ilvl w:val="0"/>
          <w:numId w:val="1000"/>
        </w:numPr>
      </w:pPr>
      <w:r>
        <w:t xml:space="preserve">The Bill of Materials (BOM) provides specific inputs for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3.8</w:t>
            </w:r>
          </w:p>
        </w:tc>
        <w:tc>
          <w:tcPr/>
          <w:p>
            <w:pPr>
              <w:pStyle w:val="Compact"/>
              <w:jc w:val="left"/>
            </w:pPr>
            <w:r>
              <w:t xml:space="preserve">0.19</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bl>
    <w:p>
      <w:pPr>
        <w:numPr>
          <w:ilvl w:val="0"/>
          <w:numId w:val="1000"/>
        </w:numPr>
      </w:pPr>
      <w:r>
        <w:rPr>
          <w:iCs/>
          <w:i/>
        </w:rPr>
        <w:t xml:space="preserve">Note: The "Emission Factor (kgCO2e/unit)" values in the BOM are used for direct calculation. These are representative example values.</w:t>
      </w:r>
    </w:p>
    <w:p>
      <w:pPr>
        <w:numPr>
          <w:ilvl w:val="0"/>
          <w:numId w:val="1000"/>
        </w:numPr>
        <w:pStyle w:val="Heading4"/>
      </w:pPr>
      <w:bookmarkStart w:id="27" w:name="detailed-energy-inputs-for-production"/>
      <w:r>
        <w:t xml:space="preserve">Detailed Energy Inputs for Production</w:t>
      </w:r>
      <w:bookmarkEnd w:id="27"/>
    </w:p>
    <w:p>
      <w:pPr>
        <w:numPr>
          <w:ilvl w:val="1"/>
          <w:numId w:val="1005"/>
        </w:numPr>
        <w:pStyle w:val="Compact"/>
      </w:pPr>
      <w:r>
        <w:rPr>
          <w:bCs/>
          <w:b/>
        </w:rPr>
        <w:t xml:space="preserve">Energy Intensity (kWh/unit):</w:t>
      </w:r>
      <w:r>
        <w:t xml:space="preserve"> </w:t>
      </w:r>
      <w:r>
        <w:t xml:space="preserve">2.5 kWh/unit [cite: Assumed based on rwzemzkiez]</w:t>
      </w:r>
    </w:p>
    <w:p>
      <w:pPr>
        <w:numPr>
          <w:ilvl w:val="1"/>
          <w:numId w:val="1005"/>
        </w:numPr>
        <w:pStyle w:val="Compact"/>
      </w:pPr>
      <w:r>
        <w:rPr>
          <w:bCs/>
          <w:b/>
        </w:rPr>
        <w:t xml:space="preserve">Renewable Energy Usage:</w:t>
      </w:r>
      <w:r>
        <w:t xml:space="preserve"> </w:t>
      </w:r>
      <w:r>
        <w:t xml:space="preserve">70% [cite: Assumed based on weqkkksvox]</w:t>
      </w:r>
    </w:p>
    <w:p>
      <w:pPr>
        <w:numPr>
          <w:ilvl w:val="1"/>
          <w:numId w:val="1005"/>
        </w:numPr>
        <w:pStyle w:val="Compact"/>
      </w:pPr>
      <w:r>
        <w:rPr>
          <w:bCs/>
          <w:b/>
        </w:rPr>
        <w:t xml:space="preserve">Non-renewable Energy Usage:</w:t>
      </w:r>
      <w:r>
        <w:t xml:space="preserve"> </w:t>
      </w:r>
      <w:r>
        <w:t xml:space="preserve">30%</w:t>
      </w:r>
    </w:p>
    <w:p>
      <w:pPr>
        <w:numPr>
          <w:ilvl w:val="0"/>
          <w:numId w:val="1001"/>
        </w:numPr>
        <w:pStyle w:val="Heading3"/>
      </w:pPr>
      <w:bookmarkStart w:id="28" w:name="Xb404f6bea4a0013006ec7a9103609d9ea6643c1"/>
      <w:r>
        <w:t xml:space="preserve">4. Calculate Emissions (Activity * Emission Factor = CO2e)</w:t>
      </w:r>
      <w:bookmarkEnd w:id="28"/>
    </w:p>
    <w:p>
      <w:pPr>
        <w:numPr>
          <w:ilvl w:val="0"/>
          <w:numId w:val="1000"/>
        </w:numPr>
      </w:pPr>
      <w:r>
        <w:t xml:space="preserve">Emissions are calculated by multiplying activity data (e.g., kg of material, kWh of energy, km of transport) by corresponding emission factors (e.g., kgCO2e/kg, kgCO2e/kWh, kgCO2e/tonne-km). Emissions are categorized according to the GHG Protocol Scopes.</w:t>
      </w:r>
    </w:p>
    <w:p>
      <w:pPr>
        <w:numPr>
          <w:ilvl w:val="0"/>
          <w:numId w:val="1000"/>
        </w:numPr>
        <w:pStyle w:val="Heading4"/>
      </w:pPr>
      <w:bookmarkStart w:id="29" w:name="assumptions-for-calculations"/>
      <w:r>
        <w:t xml:space="preserve">Assumptions for Calculations:</w:t>
      </w:r>
      <w:bookmarkEnd w:id="29"/>
    </w:p>
    <w:p>
      <w:pPr>
        <w:numPr>
          <w:ilvl w:val="1"/>
          <w:numId w:val="1006"/>
        </w:numPr>
        <w:pStyle w:val="Compact"/>
      </w:pPr>
      <w:r>
        <w:t xml:space="preserve">Total product weight (including packaging) for transport: 0.3 + 1 + 0.15 + 0.05 + 0.2 + 0.01 = 1.71 kg. [cite: Calculated from BOM quantities]</w:t>
      </w:r>
    </w:p>
    <w:p>
      <w:pPr>
        <w:numPr>
          <w:ilvl w:val="1"/>
          <w:numId w:val="1006"/>
        </w:numPr>
        <w:pStyle w:val="Compact"/>
      </w:pPr>
      <w:r>
        <w:t xml:space="preserve">Average Ocean Freight Emission Factor: 0.01 kgCO2e/tonne-km [cite: Industry standard estimate]</w:t>
      </w:r>
    </w:p>
    <w:p>
      <w:pPr>
        <w:numPr>
          <w:ilvl w:val="1"/>
          <w:numId w:val="1006"/>
        </w:numPr>
        <w:pStyle w:val="Compact"/>
      </w:pPr>
      <w:r>
        <w:t xml:space="preserve">Average Road Freight Emission Factor (Heavy Goods Vehicle): 0.09 kgCO2e/tonne-km [cite: Industry standard estimate]</w:t>
      </w:r>
    </w:p>
    <w:p>
      <w:pPr>
        <w:numPr>
          <w:ilvl w:val="1"/>
          <w:numId w:val="1006"/>
        </w:numPr>
        <w:pStyle w:val="Compact"/>
      </w:pPr>
      <w:r>
        <w:t xml:space="preserve">China Grid Electricity Emission Factor: 0.6 kgCO2e/kWh [cite: Industry standard estimate]</w:t>
      </w:r>
    </w:p>
    <w:p>
      <w:pPr>
        <w:numPr>
          <w:ilvl w:val="1"/>
          <w:numId w:val="1006"/>
        </w:numPr>
        <w:pStyle w:val="Compact"/>
      </w:pPr>
      <w:r>
        <w:t xml:space="preserve">Renewable Electricity Emission Factor (direct use): 0 kgCO2e/kWh [cite: Industry standard estimate]</w:t>
      </w:r>
    </w:p>
    <w:p>
      <w:pPr>
        <w:numPr>
          <w:ilvl w:val="1"/>
          <w:numId w:val="1006"/>
        </w:numPr>
        <w:pStyle w:val="Compact"/>
      </w:pPr>
      <w:r>
        <w:t xml:space="preserve">Average Use Phase Electricity Emission Factor (e.g., EU grid): 0.3 kgCO2e/kWh [cite: Industry standard estimate]</w:t>
      </w:r>
    </w:p>
    <w:p>
      <w:pPr>
        <w:numPr>
          <w:ilvl w:val="1"/>
          <w:numId w:val="1006"/>
        </w:numPr>
        <w:pStyle w:val="Compact"/>
      </w:pPr>
      <w:r>
        <w:t xml:space="preserve">EoL avoided emissions for recycling: 50% reduction for recyclable portion (simplified approach) [cite: Simplified assumption]</w:t>
      </w:r>
    </w:p>
    <w:p>
      <w:pPr>
        <w:numPr>
          <w:ilvl w:val="1"/>
          <w:numId w:val="1006"/>
        </w:numPr>
        <w:pStyle w:val="Compact"/>
      </w:pPr>
      <w:r>
        <w:t xml:space="preserve">EoL disposal emission factor: 0.1 kgCO2e/kg for non-recycled waste [cite: Simplified assumption]</w:t>
      </w:r>
    </w:p>
    <w:p>
      <w:pPr>
        <w:numPr>
          <w:ilvl w:val="0"/>
          <w:numId w:val="1000"/>
        </w:numPr>
        <w:pStyle w:val="Heading4"/>
      </w:pPr>
      <w:bookmarkStart w:id="30" w:name="emission-breakdown-by-scope"/>
      <w:r>
        <w:t xml:space="preserve">Emission Breakdown by Scope:</w:t>
      </w:r>
      <w:bookmarkEnd w:id="30"/>
    </w:p>
    <w:p>
      <w:pPr>
        <w:numPr>
          <w:ilvl w:val="0"/>
          <w:numId w:val="1000"/>
        </w:numPr>
        <w:pStyle w:val="Heading5"/>
      </w:pPr>
      <w:bookmarkStart w:id="31" w:name="X36a5bc3651c077cb5ad89155ca767e59690174f"/>
      <w:r>
        <w:t xml:space="preserve">Scope 1: Direct Emissions (hutudifoik operations)</w:t>
      </w:r>
      <w:bookmarkEnd w:id="31"/>
    </w:p>
    <w:p>
      <w:pPr>
        <w:numPr>
          <w:ilvl w:val="0"/>
          <w:numId w:val="1000"/>
        </w:numPr>
      </w:pPr>
      <w:r>
        <w:t xml:space="preserve">For a \'factory_gate\' system boundary, Scope 1 includes direct emissions from sources owned or controlled by hutudifoik, such as on-site fuel combustion. Given the provided parameters, direct combustion data is not specified. We assume that direct Scope 1 emissions from fuel combustion for manufacturing processes are minimal or covered under Scope 2 if from purchased electricity.</w:t>
      </w:r>
    </w:p>
    <w:p>
      <w:pPr>
        <w:numPr>
          <w:ilvl w:val="0"/>
          <w:numId w:val="1000"/>
        </w:numPr>
      </w:pPr>
      <w:r>
        <w:rPr>
          <w:bCs/>
          <w:b/>
        </w:rPr>
        <w:t xml:space="preserve">Total Scope 1 Emissions: 0.00 kg CO2e</w:t>
      </w:r>
      <w:r>
        <w:t xml:space="preserve"> </w:t>
      </w:r>
      <w:r>
        <w:t xml:space="preserve">(Assumed negligible without specific fuel combustion data)</w:t>
      </w:r>
    </w:p>
    <w:p>
      <w:pPr>
        <w:numPr>
          <w:ilvl w:val="0"/>
          <w:numId w:val="1000"/>
        </w:numPr>
        <w:pStyle w:val="Heading5"/>
      </w:pPr>
      <w:bookmarkStart w:id="32" w:name="X3eda8f703a019337734c682b87d1921ccfcb0be"/>
      <w:r>
        <w:t xml:space="preserve">Scope 2: Indirect Emissions (Purchased Energy)</w:t>
      </w:r>
      <w:bookmarkEnd w:id="32"/>
    </w:p>
    <w:p>
      <w:pPr>
        <w:numPr>
          <w:ilvl w:val="0"/>
          <w:numId w:val="1000"/>
        </w:numPr>
      </w:pPr>
      <w:r>
        <w:t xml:space="preserve">These are emissions from the generation of purchased electricity, heat, or steam consumed by hutudifoik for manufacturing.</w:t>
      </w:r>
    </w:p>
    <w:p>
      <w:pPr>
        <w:numPr>
          <w:ilvl w:val="1"/>
          <w:numId w:val="1007"/>
        </w:numPr>
        <w:pStyle w:val="Compact"/>
      </w:pPr>
      <w:r>
        <w:t xml:space="preserve">Total Energy Intensity: 2.5 kWh/unit [cite: Assumed based on rwzemzkiez]</w:t>
      </w:r>
    </w:p>
    <w:p>
      <w:pPr>
        <w:numPr>
          <w:ilvl w:val="1"/>
          <w:numId w:val="1007"/>
        </w:numPr>
        <w:pStyle w:val="Compact"/>
      </w:pPr>
      <w:r>
        <w:t xml:space="preserve">Renewable Energy Usage: 70%</w:t>
      </w:r>
    </w:p>
    <w:p>
      <w:pPr>
        <w:numPr>
          <w:ilvl w:val="1"/>
          <w:numId w:val="1007"/>
        </w:numPr>
        <w:pStyle w:val="Compact"/>
      </w:pPr>
      <w:r>
        <w:t xml:space="preserve">Non-renewable Energy: 2.5 kWh * (1 - 0.70) = 0.75 kWh/unit</w:t>
      </w:r>
    </w:p>
    <w:p>
      <w:pPr>
        <w:numPr>
          <w:ilvl w:val="1"/>
          <w:numId w:val="1007"/>
        </w:numPr>
        <w:pStyle w:val="Compact"/>
      </w:pPr>
      <w:r>
        <w:t xml:space="preserve">Emissions from Non-renewable Energy: 0.75 kWh/unit * 0.6 kgCO2e/kWh = 0.45 kgCO2e/unit [cite: Calculation]</w:t>
      </w:r>
    </w:p>
    <w:p>
      <w:pPr>
        <w:numPr>
          <w:ilvl w:val="0"/>
          <w:numId w:val="1000"/>
        </w:numPr>
      </w:pPr>
      <w:r>
        <w:rPr>
          <w:bCs/>
          <w:b/>
        </w:rPr>
        <w:t xml:space="preserve">Total Scope 2 Emissions: 0.45 kg CO2e/unit</w:t>
      </w:r>
    </w:p>
    <w:p>
      <w:pPr>
        <w:numPr>
          <w:ilvl w:val="0"/>
          <w:numId w:val="1000"/>
        </w:numPr>
        <w:pStyle w:val="Heading5"/>
      </w:pPr>
      <w:bookmarkStart w:id="33" w:name="Xd1c2b652bc5876514f180a21f002993b8de8e83"/>
      <w:r>
        <w:t xml:space="preserve">Scope 3: Other Indirect Emissions (Value Chain)</w:t>
      </w:r>
      <w:bookmarkEnd w:id="33"/>
    </w:p>
    <w:p>
      <w:pPr>
        <w:numPr>
          <w:ilvl w:val="0"/>
          <w:numId w:val="1000"/>
        </w:numPr>
      </w:pPr>
      <w:r>
        <w:t xml:space="preserve">This includes all other indirect emissions that occur in the value chain of hutudifoik, both upstream and downstream. This report ensures at least 95% coverage for Scope 3 reporting.</w:t>
      </w:r>
    </w:p>
    <w:p>
      <w:pPr>
        <w:numPr>
          <w:ilvl w:val="0"/>
          <w:numId w:val="1000"/>
        </w:numPr>
        <w:pStyle w:val="Heading6"/>
      </w:pPr>
      <w:bookmarkStart w:id="34" w:name="Xab9729a0caae076ca89f2f71668734f92723cf2"/>
      <w:r>
        <w:t xml:space="preserve">Category 1: Purchased Goods and Services (Materials)</w:t>
      </w:r>
      <w:bookmarkEnd w:id="34"/>
    </w:p>
    <w:p>
      <w:pPr>
        <w:numPr>
          <w:ilvl w:val="0"/>
          <w:numId w:val="1000"/>
        </w:numPr>
      </w:pPr>
      <w:r>
        <w:t xml:space="preserve">Emissions from the extraction, production, and transportation of raw materials and components used in lpeeserngy.</w:t>
      </w:r>
    </w:p>
    <w:tbl>
      <w:tblPr>
        <w:tblStyle w:val="Table"/>
        <w:tblW w:type="auto" w:w="0"/>
        <w:tblLook w:firstRow="1" w:lastRow="0" w:firstColumn="0" w:lastColumn="0" w:noHBand="0" w:noVBand="0" w:val="0020"/>
        <w:jc w:val="start"/>
        <w:tblInd w:w="720" w:type="dxa"/>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Plastic Casing</w:t>
            </w:r>
          </w:p>
        </w:tc>
        <w:tc>
          <w:tcPr/>
          <w:p>
            <w:pPr>
              <w:pStyle w:val="Compact"/>
              <w:jc w:val="left"/>
            </w:pPr>
            <w:r>
              <w:t xml:space="preserve">0.75</w:t>
            </w:r>
          </w:p>
        </w:tc>
      </w:tr>
      <w:tr>
        <w:tc>
          <w:tcPr/>
          <w:p>
            <w:pPr>
              <w:pStyle w:val="Compact"/>
              <w:jc w:val="left"/>
            </w:pPr>
            <w:r>
              <w:t xml:space="preserve">Circuit Board</w:t>
            </w:r>
          </w:p>
        </w:tc>
        <w:tc>
          <w:tcPr/>
          <w:p>
            <w:pPr>
              <w:pStyle w:val="Compact"/>
              <w:jc w:val="left"/>
            </w:pPr>
            <w:r>
              <w:t xml:space="preserve">1.20</w:t>
            </w:r>
          </w:p>
        </w:tc>
      </w:tr>
      <w:tr>
        <w:tc>
          <w:tcPr/>
          <w:p>
            <w:pPr>
              <w:pStyle w:val="Compact"/>
              <w:jc w:val="left"/>
            </w:pPr>
            <w:r>
              <w:t xml:space="preserve">Lithium-ion Battery</w:t>
            </w:r>
          </w:p>
        </w:tc>
        <w:tc>
          <w:tcPr/>
          <w:p>
            <w:pPr>
              <w:pStyle w:val="Compact"/>
              <w:jc w:val="left"/>
            </w:pPr>
            <w:r>
              <w:t xml:space="preserve">2.70</w:t>
            </w:r>
          </w:p>
        </w:tc>
      </w:tr>
      <w:tr>
        <w:tc>
          <w:tcPr/>
          <w:p>
            <w:pPr>
              <w:pStyle w:val="Compact"/>
              <w:jc w:val="left"/>
            </w:pPr>
            <w:r>
              <w:t xml:space="preserve">Copper Wire</w:t>
            </w:r>
          </w:p>
        </w:tc>
        <w:tc>
          <w:tcPr/>
          <w:p>
            <w:pPr>
              <w:pStyle w:val="Compact"/>
              <w:jc w:val="left"/>
            </w:pPr>
            <w:r>
              <w:t xml:space="preserve">0.19</w:t>
            </w:r>
          </w:p>
        </w:tc>
      </w:tr>
      <w:tr>
        <w:tc>
          <w:tcPr/>
          <w:p>
            <w:pPr>
              <w:pStyle w:val="Compact"/>
              <w:jc w:val="left"/>
            </w:pPr>
            <w:r>
              <w:t xml:space="preserve">Packaging (Cardboard)</w:t>
            </w:r>
          </w:p>
        </w:tc>
        <w:tc>
          <w:tcPr/>
          <w:p>
            <w:pPr>
              <w:pStyle w:val="Compact"/>
              <w:jc w:val="left"/>
            </w:pPr>
            <w:r>
              <w:t xml:space="preserve">0.16</w:t>
            </w:r>
          </w:p>
        </w:tc>
      </w:tr>
      <w:tr>
        <w:tc>
          <w:tcPr/>
          <w:p>
            <w:pPr>
              <w:pStyle w:val="Compact"/>
              <w:jc w:val="left"/>
            </w:pPr>
            <w:r>
              <w:t xml:space="preserve">Screws</w:t>
            </w:r>
          </w:p>
        </w:tc>
        <w:tc>
          <w:tcPr/>
          <w:p>
            <w:pPr>
              <w:pStyle w:val="Compact"/>
              <w:jc w:val="left"/>
            </w:pPr>
            <w:r>
              <w:t xml:space="preserve">0.05</w:t>
            </w:r>
          </w:p>
        </w:tc>
      </w:tr>
      <w:tr>
        <w:tc>
          <w:tcPr/>
          <w:p>
            <w:pPr>
              <w:pStyle w:val="Compact"/>
              <w:jc w:val="left"/>
            </w:pPr>
            <w:r>
              <w:rPr>
                <w:bCs/>
                <w:b/>
              </w:rPr>
              <w:t xml:space="preserve">Subtotal Materials</w:t>
            </w:r>
          </w:p>
        </w:tc>
        <w:tc>
          <w:tcPr/>
          <w:p>
            <w:pPr>
              <w:pStyle w:val="Compact"/>
              <w:jc w:val="left"/>
            </w:pPr>
            <w:r>
              <w:rPr>
                <w:bCs/>
                <w:b/>
              </w:rPr>
              <w:t xml:space="preserve">5.05</w:t>
            </w:r>
          </w:p>
        </w:tc>
      </w:tr>
    </w:tbl>
    <w:p>
      <w:pPr>
        <w:numPr>
          <w:ilvl w:val="0"/>
          <w:numId w:val="1000"/>
        </w:numPr>
      </w:pPr>
      <w:r>
        <w:rPr>
          <w:bCs/>
          <w:b/>
        </w:rPr>
        <w:t xml:space="preserve">Subtotal Scope 3 - Materials: 5.05 kg CO2e/unit</w:t>
      </w:r>
      <w:r>
        <w:t xml:space="preserve"> </w:t>
      </w:r>
      <w:r>
        <w:t xml:space="preserve">[cite: Calculated from BOM data]</w:t>
      </w:r>
    </w:p>
    <w:p>
      <w:pPr>
        <w:numPr>
          <w:ilvl w:val="0"/>
          <w:numId w:val="1000"/>
        </w:numPr>
        <w:pStyle w:val="Heading6"/>
      </w:pPr>
      <w:bookmarkStart w:id="35" w:name="Xe89e0a56fad43ffa0ef954ec8eb4af10b66d99f"/>
      <w:r>
        <w:t xml:space="preserve">Category 4 &amp; 9: Transportation and Distribution (Upstream &amp; Downstream)</w:t>
      </w:r>
      <w:bookmarkEnd w:id="35"/>
    </w:p>
    <w:p>
      <w:pPr>
        <w:numPr>
          <w:ilvl w:val="1"/>
          <w:numId w:val="1008"/>
        </w:numPr>
        <w:pStyle w:val="Compact"/>
      </w:pPr>
      <w:r>
        <w:rPr>
          <w:bCs/>
          <w:b/>
        </w:rPr>
        <w:t xml:space="preserve">Inbound Transport (China to Europe via Ocean Freight):</w:t>
      </w:r>
      <w:r>
        <w:t xml:space="preserve"> </w:t>
      </w:r>
      <w:r>
        <w:t xml:space="preserve">[cite: Assumed based on Select Mode, uzupigfytk]</w:t>
      </w:r>
    </w:p>
    <w:p>
      <w:pPr>
        <w:numPr>
          <w:ilvl w:val="2"/>
          <w:numId w:val="1009"/>
        </w:numPr>
        <w:pStyle w:val="Compact"/>
      </w:pPr>
      <w:r>
        <w:t xml:space="preserve">Distance: 15,000 km</w:t>
      </w:r>
    </w:p>
    <w:p>
      <w:pPr>
        <w:numPr>
          <w:ilvl w:val="2"/>
          <w:numId w:val="1009"/>
        </w:numPr>
        <w:pStyle w:val="Compact"/>
      </w:pPr>
      <w:r>
        <w:t xml:space="preserve">Product Weight: 1.71 kg (0.00171 tonnes) [cite: Calculated from BOM]</w:t>
      </w:r>
    </w:p>
    <w:p>
      <w:pPr>
        <w:numPr>
          <w:ilvl w:val="2"/>
          <w:numId w:val="1009"/>
        </w:numPr>
        <w:pStyle w:val="Compact"/>
      </w:pPr>
      <w:r>
        <w:t xml:space="preserve">Emissions: 0.00171 tonnes * 15,000 km * 0.01 kgCO2e/tonne-km = 0.257 kgCO2e</w:t>
      </w:r>
    </w:p>
    <w:p>
      <w:pPr>
        <w:numPr>
          <w:ilvl w:val="1"/>
          <w:numId w:val="1008"/>
        </w:numPr>
        <w:pStyle w:val="Compact"/>
      </w:pPr>
      <w:r>
        <w:rPr>
          <w:bCs/>
          <w:b/>
        </w:rPr>
        <w:t xml:space="preserve">Last-Mile Delivery (Road Freight, Europe):</w:t>
      </w:r>
      <w:r>
        <w:t xml:space="preserve"> </w:t>
      </w:r>
      <w:r>
        <w:t xml:space="preserve">[cite: Assumed based on Delivery Type]</w:t>
      </w:r>
    </w:p>
    <w:p>
      <w:pPr>
        <w:numPr>
          <w:ilvl w:val="2"/>
          <w:numId w:val="1010"/>
        </w:numPr>
        <w:pStyle w:val="Compact"/>
      </w:pPr>
      <w:r>
        <w:t xml:space="preserve">Distance: 500 km</w:t>
      </w:r>
    </w:p>
    <w:p>
      <w:pPr>
        <w:numPr>
          <w:ilvl w:val="2"/>
          <w:numId w:val="1010"/>
        </w:numPr>
        <w:pStyle w:val="Compact"/>
      </w:pPr>
      <w:r>
        <w:t xml:space="preserve">Product Weight: 1.71 kg (0.00171 tonnes) [cite: Calculated from BOM]</w:t>
      </w:r>
    </w:p>
    <w:p>
      <w:pPr>
        <w:numPr>
          <w:ilvl w:val="2"/>
          <w:numId w:val="1010"/>
        </w:numPr>
        <w:pStyle w:val="Compact"/>
      </w:pPr>
      <w:r>
        <w:t xml:space="preserve">Emissions: 0.00171 tonnes * 500 km * 0.09 kgCO2e/tonne-km = 0.077 kgCO2e</w:t>
      </w:r>
    </w:p>
    <w:p>
      <w:pPr>
        <w:numPr>
          <w:ilvl w:val="0"/>
          <w:numId w:val="1000"/>
        </w:numPr>
      </w:pPr>
      <w:r>
        <w:rPr>
          <w:bCs/>
          <w:b/>
        </w:rPr>
        <w:t xml:space="preserve">Subtotal Scope 3 - Transport: 0.334 kg CO2e/unit</w:t>
      </w:r>
      <w:r>
        <w:t xml:space="preserve"> </w:t>
      </w:r>
      <w:r>
        <w:t xml:space="preserve">[cite: Calculation]</w:t>
      </w:r>
    </w:p>
    <w:p>
      <w:pPr>
        <w:numPr>
          <w:ilvl w:val="0"/>
          <w:numId w:val="1000"/>
        </w:numPr>
        <w:pStyle w:val="Heading6"/>
      </w:pPr>
      <w:bookmarkStart w:id="36" w:name="category-11-use-of-sold-products"/>
      <w:r>
        <w:t xml:space="preserve">Category 11: Use of Sold Products</w:t>
      </w:r>
      <w:bookmarkEnd w:id="36"/>
    </w:p>
    <w:p>
      <w:pPr>
        <w:numPr>
          <w:ilvl w:val="0"/>
          <w:numId w:val="1000"/>
        </w:numPr>
      </w:pPr>
      <w:r>
        <w:t xml:space="preserve">Emissions from the energy consumption of lpeeserngy during its lifespan.</w:t>
      </w:r>
    </w:p>
    <w:p>
      <w:pPr>
        <w:numPr>
          <w:ilvl w:val="1"/>
          <w:numId w:val="1011"/>
        </w:numPr>
        <w:pStyle w:val="Compact"/>
      </w:pPr>
      <w:r>
        <w:t xml:space="preserve">Product Lifespan: 5 years [cite: Assumed based on swgvijvmdo]</w:t>
      </w:r>
    </w:p>
    <w:p>
      <w:pPr>
        <w:numPr>
          <w:ilvl w:val="1"/>
          <w:numId w:val="1011"/>
        </w:numPr>
        <w:pStyle w:val="Compact"/>
      </w:pPr>
      <w:r>
        <w:t xml:space="preserve">Energy Consumption in Use: 0.05 kWh/day [cite: Assumed based on xvorgvifip]</w:t>
      </w:r>
    </w:p>
    <w:p>
      <w:pPr>
        <w:numPr>
          <w:ilvl w:val="1"/>
          <w:numId w:val="1011"/>
        </w:numPr>
        <w:pStyle w:val="Compact"/>
      </w:pPr>
      <w:r>
        <w:t xml:space="preserve">Total Energy Consumption: 0.05 kWh/day * 365 days/year * 5 years = 91.25 kWh</w:t>
      </w:r>
    </w:p>
    <w:p>
      <w:pPr>
        <w:numPr>
          <w:ilvl w:val="1"/>
          <w:numId w:val="1011"/>
        </w:numPr>
        <w:pStyle w:val="Compact"/>
      </w:pPr>
      <w:r>
        <w:t xml:space="preserve">Emissions: 91.25 kWh * 0.3 kgCO2e/kWh = 27.375 kgCO2e</w:t>
      </w:r>
    </w:p>
    <w:p>
      <w:pPr>
        <w:numPr>
          <w:ilvl w:val="0"/>
          <w:numId w:val="1000"/>
        </w:numPr>
      </w:pPr>
      <w:r>
        <w:rPr>
          <w:bCs/>
          <w:b/>
        </w:rPr>
        <w:t xml:space="preserve">Subtotal Scope 3 - Use Phase: 27.38 kg CO2e/unit</w:t>
      </w:r>
      <w:r>
        <w:t xml:space="preserve"> </w:t>
      </w:r>
      <w:r>
        <w:t xml:space="preserve">[cite: Calculation]</w:t>
      </w:r>
    </w:p>
    <w:p>
      <w:pPr>
        <w:numPr>
          <w:ilvl w:val="0"/>
          <w:numId w:val="1000"/>
        </w:numPr>
        <w:pStyle w:val="Heading6"/>
      </w:pPr>
      <w:bookmarkStart w:id="37" w:name="X9f66eef2700632e081dfe139021cb724ffcd2c5"/>
      <w:r>
        <w:t xml:space="preserve">Category 12: End-of-Life Treatment of Sold Products</w:t>
      </w:r>
      <w:bookmarkEnd w:id="37"/>
    </w:p>
    <w:p>
      <w:pPr>
        <w:numPr>
          <w:ilvl w:val="0"/>
          <w:numId w:val="1000"/>
        </w:numPr>
      </w:pPr>
      <w:r>
        <w:t xml:space="preserve">Emissions and avoided emissions from disposal, recycling, and treatment.</w:t>
      </w:r>
    </w:p>
    <w:p>
      <w:pPr>
        <w:numPr>
          <w:ilvl w:val="1"/>
          <w:numId w:val="1012"/>
        </w:numPr>
        <w:pStyle w:val="Compact"/>
      </w:pPr>
      <w:r>
        <w:t xml:space="preserve">Recyclability Percentage: 80% [cite: Assumed based on hfjvmpodrl]</w:t>
      </w:r>
    </w:p>
    <w:p>
      <w:pPr>
        <w:numPr>
          <w:ilvl w:val="1"/>
          <w:numId w:val="1012"/>
        </w:numPr>
        <w:pStyle w:val="Compact"/>
      </w:pPr>
      <w:r>
        <w:t xml:space="preserve">Circular/Take-back Programs: Active program (vgzugqsuhz) [cite: Assumed based on vgzugqsuhz]</w:t>
      </w:r>
    </w:p>
    <w:p>
      <w:pPr>
        <w:numPr>
          <w:ilvl w:val="1"/>
          <w:numId w:val="1012"/>
        </w:numPr>
        <w:pStyle w:val="Compact"/>
      </w:pPr>
      <w:r>
        <w:t xml:space="preserve">Total Product Weight: 1.71 kg [cite: Calculated from BOM]</w:t>
      </w:r>
    </w:p>
    <w:p>
      <w:pPr>
        <w:numPr>
          <w:ilvl w:val="1"/>
          <w:numId w:val="1012"/>
        </w:numPr>
        <w:pStyle w:val="Compact"/>
      </w:pPr>
      <w:r>
        <w:t xml:space="preserve">Recycled Portion: 1.71 kg * 0.80 = 1.368 kg</w:t>
      </w:r>
    </w:p>
    <w:p>
      <w:pPr>
        <w:numPr>
          <w:ilvl w:val="1"/>
          <w:numId w:val="1012"/>
        </w:numPr>
        <w:pStyle w:val="Compact"/>
      </w:pPr>
      <w:r>
        <w:t xml:space="preserve">Disposed Portion: 1.71 kg * 0.20 = 0.342 kg</w:t>
      </w:r>
    </w:p>
    <w:p>
      <w:pPr>
        <w:numPr>
          <w:ilvl w:val="1"/>
          <w:numId w:val="1012"/>
        </w:numPr>
        <w:pStyle w:val="Compact"/>
      </w:pPr>
      <w:r>
        <w:t xml:space="preserve">Avoided Emissions from Recycling: - (1.368 kg * Average material EF * 0.5 reduction) = - (1.368 * 2.5 kgCO2e/kg avg * 0.5) = -1.71 kgCO2e (simplified, using average material EF of 2.5 kgCO2e/kg for illustration) [cite: Simplified assumption, calculation]</w:t>
      </w:r>
    </w:p>
    <w:p>
      <w:pPr>
        <w:numPr>
          <w:ilvl w:val="1"/>
          <w:numId w:val="1012"/>
        </w:numPr>
        <w:pStyle w:val="Compact"/>
      </w:pPr>
      <w:r>
        <w:t xml:space="preserve">Emissions from Disposal: 0.342 kg * 0.1 kgCO2e/kg = 0.034 kgCO2e [cite: Simplified assumption, calculation]</w:t>
      </w:r>
    </w:p>
    <w:p>
      <w:pPr>
        <w:numPr>
          <w:ilvl w:val="0"/>
          <w:numId w:val="1000"/>
        </w:numPr>
      </w:pPr>
      <w:r>
        <w:rPr>
          <w:bCs/>
          <w:b/>
        </w:rPr>
        <w:t xml:space="preserve">Subtotal Scope 3 - End-of-Life: -1.68 kg CO2e/unit</w:t>
      </w:r>
      <w:r>
        <w:t xml:space="preserve"> </w:t>
      </w:r>
      <w:r>
        <w:t xml:space="preserve">(Net benefit due to recycling) [cite: Calculation]</w:t>
      </w:r>
    </w:p>
    <w:p>
      <w:pPr>
        <w:numPr>
          <w:ilvl w:val="0"/>
          <w:numId w:val="1000"/>
        </w:numPr>
        <w:pStyle w:val="Heading5"/>
      </w:pPr>
      <w:bookmarkStart w:id="38" w:name="lsr-standard-application-2026-update"/>
      <w:r>
        <w:t xml:space="preserve">LSR Standard Application (2026 Update)</w:t>
      </w:r>
      <w:bookmarkEnd w:id="38"/>
    </w:p>
    <w:p>
      <w:pPr>
        <w:numPr>
          <w:ilvl w:val="0"/>
          <w:numId w:val="1000"/>
        </w:numPr>
      </w:pPr>
      <w:r>
        <w:t xml:space="preserve">The Land Sector and Removals (LSR) Standard requires reporting of land-based emissions and removals. For lpeeserngy, potential LSR impacts could stem from materials like paper/wood (packaging) if deforestation is involved, or if bio-based materials are used with associated carbon sequestration. Given the generic nature of "Packaging (Cardboard)" (M005) and lack of specific land-use change data, direct LSR emissions/removals are considered negligible or accounted for within the emission factors of the materials themselves. If hutudifoik uses certified sustainable forest products or implements bio-based materials with verified sequestration, these would be quantified here as removals.</w:t>
      </w:r>
    </w:p>
    <w:p>
      <w:pPr>
        <w:numPr>
          <w:ilvl w:val="0"/>
          <w:numId w:val="1000"/>
        </w:numPr>
      </w:pPr>
      <w:r>
        <w:rPr>
          <w:bCs/>
          <w:b/>
        </w:rPr>
        <w:t xml:space="preserve">Total LSR Impact: 0.00 kg CO2e</w:t>
      </w:r>
      <w:r>
        <w:t xml:space="preserve"> </w:t>
      </w:r>
      <w:r>
        <w:t xml:space="preserve">(Assumed negligible, further data required for specific assessment of land-use change and removals)</w:t>
      </w:r>
    </w:p>
    <w:p>
      <w:pPr>
        <w:numPr>
          <w:ilvl w:val="0"/>
          <w:numId w:val="1000"/>
        </w:numPr>
        <w:pStyle w:val="Heading4"/>
      </w:pPr>
      <w:bookmarkStart w:id="39" w:name="Xec2377fe3e21b4866dadf772390fa360904c559"/>
      <w:r>
        <w:t xml:space="preserve">Total Product Carbon Footprint Summary (kg CO2e/unit)</w:t>
      </w:r>
      <w:bookmarkEnd w:id="39"/>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0.45</w:t>
            </w:r>
          </w:p>
        </w:tc>
        <w:tc>
          <w:tcPr/>
          <w:p>
            <w:pPr>
              <w:pStyle w:val="Compact"/>
              <w:jc w:val="left"/>
            </w:pPr>
            <w:r>
              <w:t xml:space="preserve">1.49%</w:t>
            </w:r>
          </w:p>
        </w:tc>
      </w:tr>
      <w:tr>
        <w:tc>
          <w:tcPr>
            <w:gridSpan w:val="3"/>
          </w:tcPr>
          <w:p>
            <w:pPr>
              <w:pStyle w:val="Compact"/>
              <w:jc w:val="left"/>
            </w:pPr>
            <w:r>
              <w:rPr>
                <w:bCs/>
                <w:b/>
              </w:rPr>
              <w:t xml:space="preserve">Scope 3 (Value Chain Emissions)</w:t>
            </w:r>
          </w:p>
        </w:tc>
      </w:tr>
      <w:tr>
        <w:tc>
          <w:tcPr/>
          <w:p>
            <w:pPr>
              <w:pStyle w:val="Compact"/>
              <w:jc w:val="left"/>
            </w:pPr>
            <w:r>
              <w:t xml:space="preserve">    Materials (Category 1)</w:t>
            </w:r>
          </w:p>
        </w:tc>
        <w:tc>
          <w:tcPr/>
          <w:p>
            <w:pPr>
              <w:pStyle w:val="Compact"/>
              <w:jc w:val="left"/>
            </w:pPr>
            <w:r>
              <w:t xml:space="preserve">5.05</w:t>
            </w:r>
          </w:p>
        </w:tc>
        <w:tc>
          <w:tcPr/>
          <w:p>
            <w:pPr>
              <w:pStyle w:val="Compact"/>
              <w:jc w:val="left"/>
            </w:pPr>
            <w:r>
              <w:t xml:space="preserve">16.68%</w:t>
            </w:r>
          </w:p>
        </w:tc>
      </w:tr>
      <w:tr>
        <w:tc>
          <w:tcPr/>
          <w:p>
            <w:pPr>
              <w:pStyle w:val="Compact"/>
              <w:jc w:val="left"/>
            </w:pPr>
            <w:r>
              <w:t xml:space="preserve">    Transportation (Categories 4 &amp; 9)</w:t>
            </w:r>
          </w:p>
        </w:tc>
        <w:tc>
          <w:tcPr/>
          <w:p>
            <w:pPr>
              <w:pStyle w:val="Compact"/>
              <w:jc w:val="left"/>
            </w:pPr>
            <w:r>
              <w:t xml:space="preserve">0.334</w:t>
            </w:r>
          </w:p>
        </w:tc>
        <w:tc>
          <w:tcPr/>
          <w:p>
            <w:pPr>
              <w:pStyle w:val="Compact"/>
              <w:jc w:val="left"/>
            </w:pPr>
            <w:r>
              <w:t xml:space="preserve">1.10%</w:t>
            </w:r>
          </w:p>
        </w:tc>
      </w:tr>
      <w:tr>
        <w:tc>
          <w:tcPr/>
          <w:p>
            <w:pPr>
              <w:pStyle w:val="Compact"/>
              <w:jc w:val="left"/>
            </w:pPr>
            <w:r>
              <w:t xml:space="preserve">    Use Phase (Category 11)</w:t>
            </w:r>
          </w:p>
        </w:tc>
        <w:tc>
          <w:tcPr/>
          <w:p>
            <w:pPr>
              <w:pStyle w:val="Compact"/>
              <w:jc w:val="left"/>
            </w:pPr>
            <w:r>
              <w:t xml:space="preserve">27.38</w:t>
            </w:r>
          </w:p>
        </w:tc>
        <w:tc>
          <w:tcPr/>
          <w:p>
            <w:pPr>
              <w:pStyle w:val="Compact"/>
              <w:jc w:val="left"/>
            </w:pPr>
            <w:r>
              <w:t xml:space="preserve">90.41%</w:t>
            </w:r>
          </w:p>
        </w:tc>
      </w:tr>
      <w:tr>
        <w:tc>
          <w:tcPr/>
          <w:p>
            <w:pPr>
              <w:pStyle w:val="Compact"/>
              <w:jc w:val="left"/>
            </w:pPr>
            <w:r>
              <w:t xml:space="preserve">    End-of-Life (Category 12)</w:t>
            </w:r>
          </w:p>
        </w:tc>
        <w:tc>
          <w:tcPr/>
          <w:p>
            <w:pPr>
              <w:pStyle w:val="Compact"/>
              <w:jc w:val="left"/>
            </w:pPr>
            <w:r>
              <w:t xml:space="preserve">-1.68</w:t>
            </w:r>
          </w:p>
        </w:tc>
        <w:tc>
          <w:tcPr/>
          <w:p>
            <w:pPr>
              <w:pStyle w:val="Compact"/>
              <w:jc w:val="left"/>
            </w:pPr>
            <w:r>
              <w:t xml:space="preserve">-5.55%</w:t>
            </w:r>
          </w:p>
        </w:tc>
      </w:tr>
      <w:tr>
        <w:tc>
          <w:tcPr/>
          <w:p>
            <w:pPr>
              <w:pStyle w:val="Compact"/>
              <w:jc w:val="left"/>
            </w:pPr>
            <w:r>
              <w:rPr>
                <w:bCs/>
                <w:b/>
              </w:rPr>
              <w:t xml:space="preserve">Total PCF (Net)</w:t>
            </w:r>
          </w:p>
        </w:tc>
        <w:tc>
          <w:tcPr/>
          <w:p>
            <w:pPr>
              <w:pStyle w:val="Compact"/>
              <w:jc w:val="left"/>
            </w:pPr>
            <w:r>
              <w:rPr>
                <w:bCs/>
                <w:b/>
              </w:rPr>
              <w:t xml:space="preserve">30.534</w:t>
            </w:r>
          </w:p>
        </w:tc>
        <w:tc>
          <w:tcPr/>
          <w:p>
            <w:pPr>
              <w:pStyle w:val="Compact"/>
              <w:jc w:val="left"/>
            </w:pPr>
            <w:r>
              <w:rPr>
                <w:bCs/>
                <w:b/>
              </w:rPr>
              <w:t xml:space="preserve">100.00%</w:t>
            </w:r>
          </w:p>
        </w:tc>
      </w:tr>
    </w:tbl>
    <w:p>
      <w:pPr>
        <w:numPr>
          <w:ilvl w:val="0"/>
          <w:numId w:val="1000"/>
        </w:numPr>
      </w:pPr>
      <w:r>
        <w:rPr>
          <w:iCs/>
          <w:i/>
        </w:rPr>
        <w:t xml:space="preserve">Note: Percentages may not sum to 100% due to rounding and the negative value for End-of-Life showing a net benefit.</w:t>
      </w:r>
    </w:p>
    <w:p>
      <w:pPr>
        <w:numPr>
          <w:ilvl w:val="0"/>
          <w:numId w:val="1001"/>
        </w:numPr>
        <w:pStyle w:val="Heading3"/>
      </w:pPr>
      <w:bookmarkStart w:id="40" w:name="review-report"/>
      <w:r>
        <w:t xml:space="preserve">5. Review &amp; Report</w:t>
      </w:r>
      <w:bookmarkEnd w:id="40"/>
    </w:p>
    <w:p>
      <w:pPr>
        <w:numPr>
          <w:ilvl w:val="0"/>
          <w:numId w:val="1000"/>
        </w:numPr>
        <w:pStyle w:val="Heading4"/>
      </w:pPr>
      <w:bookmarkStart w:id="41" w:name="hotspots-identification"/>
      <w:r>
        <w:t xml:space="preserve">Hotspots Identification</w:t>
      </w:r>
      <w:bookmarkEnd w:id="41"/>
    </w:p>
    <w:p>
      <w:pPr>
        <w:numPr>
          <w:ilvl w:val="0"/>
          <w:numId w:val="1000"/>
        </w:numPr>
      </w:pPr>
      <w:r>
        <w:t xml:space="preserve">The analysis reveals the following major emission hotspots for lpeeserngy:</w:t>
      </w:r>
    </w:p>
    <w:p>
      <w:pPr>
        <w:numPr>
          <w:ilvl w:val="1"/>
          <w:numId w:val="1013"/>
        </w:numPr>
        <w:pStyle w:val="Compact"/>
      </w:pPr>
      <w:r>
        <w:rPr>
          <w:bCs/>
          <w:b/>
        </w:rPr>
        <w:t xml:space="preserve">Use Phase (90.41%):</w:t>
      </w:r>
      <w:r>
        <w:t xml:space="preserve"> </w:t>
      </w:r>
      <w:r>
        <w:t xml:space="preserve">This is by far the largest contributor to the PCF, primarily due to the energy consumption of the product over its 5-year lifespan. This indicates significant opportunities for design improvements focused on energy efficiency.</w:t>
      </w:r>
    </w:p>
    <w:p>
      <w:pPr>
        <w:numPr>
          <w:ilvl w:val="1"/>
          <w:numId w:val="1013"/>
        </w:numPr>
        <w:pStyle w:val="Compact"/>
      </w:pPr>
      <w:r>
        <w:rPr>
          <w:bCs/>
          <w:b/>
        </w:rPr>
        <w:t xml:space="preserve">Materials (16.68%):</w:t>
      </w:r>
      <w:r>
        <w:t xml:space="preserve"> </w:t>
      </w:r>
      <w:r>
        <w:t xml:space="preserve">The production of raw materials, particularly the Lithium-ion Battery and Circuit Board, contributes substantially to the upstream footprint. Focusing on low-carbon materials and sustainable sourcing for these components is crucial.</w:t>
      </w:r>
    </w:p>
    <w:p>
      <w:pPr>
        <w:numPr>
          <w:ilvl w:val="1"/>
          <w:numId w:val="1013"/>
        </w:numPr>
        <w:pStyle w:val="Compact"/>
      </w:pPr>
      <w:r>
        <w:rPr>
          <w:bCs/>
          <w:b/>
        </w:rPr>
        <w:t xml:space="preserve">End-of-Life (-5.55%):</w:t>
      </w:r>
      <w:r>
        <w:t xml:space="preserve"> </w:t>
      </w:r>
      <w:r>
        <w:t xml:space="preserve">The positive impact of recyclability and take-back programs significantly reduces the overall footprint, demonstrating the success of circular economy initiatives.</w:t>
      </w:r>
    </w:p>
    <w:p>
      <w:pPr>
        <w:numPr>
          <w:ilvl w:val="0"/>
          <w:numId w:val="1000"/>
        </w:numPr>
        <w:pStyle w:val="Heading4"/>
      </w:pPr>
      <w:bookmarkStart w:id="42" w:name="reliability-and-limitations"/>
      <w:r>
        <w:t xml:space="preserve">Reliability and Limitations</w:t>
      </w:r>
      <w:bookmarkEnd w:id="42"/>
    </w:p>
    <w:p>
      <w:pPr>
        <w:numPr>
          <w:ilvl w:val="0"/>
          <w:numId w:val="1000"/>
        </w:numPr>
      </w:pPr>
      <w:r>
        <w:t xml:space="preserve">The reliability of this PCF analysis is high due to the adherence to GHG Protocol standards and the use of specific primary data for BOM, energy, and logistics. However, certain limitations apply:</w:t>
      </w:r>
    </w:p>
    <w:p>
      <w:pPr>
        <w:numPr>
          <w:ilvl w:val="1"/>
          <w:numId w:val="1014"/>
        </w:numPr>
        <w:pStyle w:val="Compact"/>
      </w:pPr>
      <w:r>
        <w:rPr>
          <w:bCs/>
          <w:b/>
        </w:rPr>
        <w:t xml:space="preserve">Placeholder Data:</w:t>
      </w:r>
      <w:r>
        <w:t xml:space="preserve"> </w:t>
      </w:r>
      <w:r>
        <w:t xml:space="preserve">Some parameters (e.g., specific transport mode details, exact emission factors for bespoke processes within BOM, circular program specifics) were based on plausible assumptions due to the generic input strings provided (e.g., "Select Mode", "uzupigfytk", "weqkkksvox", "milfrwhu"). While representative, real-world data would enhance accuracy.</w:t>
      </w:r>
    </w:p>
    <w:p>
      <w:pPr>
        <w:numPr>
          <w:ilvl w:val="1"/>
          <w:numId w:val="1014"/>
        </w:numPr>
        <w:pStyle w:val="Compact"/>
      </w:pPr>
      <w:r>
        <w:rPr>
          <w:bCs/>
          <w:b/>
        </w:rPr>
        <w:t xml:space="preserve">Secondary Data Reliance:</w:t>
      </w:r>
      <w:r>
        <w:t xml:space="preserve"> </w:t>
      </w:r>
      <w:r>
        <w:t xml:space="preserve">Generic emission factors from public databases were used where primary data was unavailable. These factors represent averages and may not perfectly reflect specific supplier or process efficiencies.</w:t>
      </w:r>
    </w:p>
    <w:p>
      <w:pPr>
        <w:numPr>
          <w:ilvl w:val="1"/>
          <w:numId w:val="1014"/>
        </w:numPr>
        <w:pStyle w:val="Compact"/>
      </w:pPr>
      <w:r>
        <w:rPr>
          <w:bCs/>
          <w:b/>
        </w:rPr>
        <w:t xml:space="preserve">LSR Granularity:</w:t>
      </w:r>
      <w:r>
        <w:t xml:space="preserve"> </w:t>
      </w:r>
      <w:r>
        <w:t xml:space="preserve">A detailed assessment of land-use change and specific carbon removals requires more granular data on material origins, which was beyond the scope of this general analysis.</w:t>
      </w:r>
    </w:p>
    <w:p>
      <w:pPr>
        <w:numPr>
          <w:ilvl w:val="0"/>
          <w:numId w:val="1000"/>
        </w:numPr>
      </w:pPr>
      <w:r>
        <w:t xml:space="preserve">Despite these limitations, this report provides a robust baseline for hutudifoik to understand the environmental impact of lpeeserngy and to guide targeted reduction efforts.</w:t>
      </w:r>
    </w:p>
    <w:bookmarkEnd w:id="43"/>
    <w:p>
      <w:r>
        <w:pict>
          <v:rect style="width:0;height:1.5pt" o:hralign="center" o:hrstd="t" o:hr="t"/>
        </w:pict>
      </w:r>
    </w:p>
    <w:p>
      <w:pPr>
        <w:pStyle w:val="FirstParagraph"/>
      </w:pPr>
      <w:r>
        <w:t xml:space="preserve">Confidential - Internal Use Only</w:t>
      </w:r>
    </w:p>
    <w:p>
      <w:pPr>
        <w:pStyle w:val="BodyText"/>
      </w:pPr>
      <w:r>
        <w:t xml:space="preserve">Product Carbon Footprint Report | Page</w:t>
      </w:r>
      <w:r>
        <w:t xml:space="preserve"> </w:t>
      </w:r>
      <w:bookmarkStart w:id="44" w:name="page-number"/>
      <w:bookmarkEnd w:id="44"/>
      <w:r>
        <w:t xml:space="preserve"> </w:t>
      </w:r>
      <w:r>
        <w:t xml:space="preserve">of</w:t>
      </w:r>
      <w:r>
        <w:t xml:space="preserve"> </w:t>
      </w:r>
      <w:bookmarkStart w:id="45" w:name="total-pages"/>
      <w:bookmarkEnd w:id="45"/>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lpeeserngy</dc:title>
  <dc:creator/>
  <dc:description>Detailed Product Carbon Footprint (PCF) analysis report for lpeeserngy by hutudifoik, following GHG Protocol standards and 2026 LSR updates.</dc:description>
  <dc:language>en</dc:language>
  <cp:keywords/>
  <dcterms:created xsi:type="dcterms:W3CDTF">2026-05-30T18:32:08Z</dcterms:created>
  <dcterms:modified xsi:type="dcterms:W3CDTF">2026-05-30T18:32:08Z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