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loxlmdlfqw</w:t>
      </w:r>
      <w:r>
        <w:t xml:space="preserve"> </w:t>
      </w:r>
      <w:r>
        <w:t xml:space="preserve">-</w:t>
      </w:r>
      <w:r>
        <w:t xml:space="preserve"> </w:t>
      </w:r>
      <w:r>
        <w:t xml:space="preserve">qkhqqifimo</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product-loxlmdlfqw"/>
    <w:p>
      <w:pPr>
        <w:pStyle w:val="Heading1"/>
      </w:pPr>
      <w:r>
        <w:t xml:space="preserve">Product: loxlmdlfqw</w:t>
      </w:r>
    </w:p>
    <w:p>
      <w:pPr>
        <w:pStyle w:val="FirstParagraph"/>
      </w:pPr>
      <w:r>
        <w:rPr>
          <w:bCs/>
          <w:b/>
        </w:rPr>
        <w:t xml:space="preserve">Company Name:</w:t>
      </w:r>
      <w:r>
        <w:t xml:space="preserve"> </w:t>
      </w:r>
      <w:r>
        <w:t xml:space="preserve">qkhqqifimo</w:t>
      </w:r>
    </w:p>
    <w:p>
      <w:pPr>
        <w:pStyle w:val="BodyText"/>
      </w:pPr>
      <w:r>
        <w:rPr>
          <w:bCs/>
          <w:b/>
        </w:rPr>
        <w:t xml:space="preserve">Senior Sustainability Consultant:</w:t>
      </w:r>
      <w:r>
        <w:t xml:space="preserve"> </w:t>
      </w:r>
      <w:r>
        <w:t xml:space="preserve">stszjxvzoe</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estimation of the product\'s carbon footprint.</w:t>
      </w:r>
    </w:p>
    <w:bookmarkEnd w:id="21"/>
    <w:bookmarkStart w:id="22" w:name="X53a8b5c8dd6ed7011ed95fc5b2adedd88a54f6b"/>
    <w:p>
      <w:pPr>
        <w:pStyle w:val="Heading1"/>
      </w:pPr>
      <w:r>
        <w:t xml:space="preserve">Product Carbon Footprint Report: loxlmdlfqw</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stszjxvzoe</w:t>
      </w:r>
    </w:p>
    <w:p>
      <w:pPr>
        <w:pStyle w:val="BodyText"/>
      </w:pPr>
      <w:r>
        <w:rPr>
          <w:bCs/>
          <w:b/>
        </w:rPr>
        <w:t xml:space="preserve">Company:</w:t>
      </w:r>
      <w:r>
        <w:t xml:space="preserve"> </w:t>
      </w:r>
      <w:r>
        <w:t xml:space="preserve">qkhqqifimo</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\'loxlmdlfqw\' manufactured by \'qkhqqifimo\', conducted in accordance with the Greenhouse Gas (GHG) Protocol. The analysis covers the lifecycle from raw material acquisition to the factory gate, with additional considerations for the use phase and end-of-life scenarios to provide a comprehensive view of environmental impact. The assessment incorporates specific Bill of Materials (BOM) data, logistics, energy usage, product lifespan, and recyclability. This report also integrates the latest 2026 updates, including the Land Sector and Removals (LSR) Standard and stricter Scope 3 compliance requirements, ensuring a robust and forward-looking assessment. The primary objective is to identify carbon hotspots and inform strategies for emission reduction across the product\'s lifecycle.</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loxlmdlfqw</w:t>
      </w:r>
      <w:r>
        <w:t xml:space="preserve">.</w:t>
      </w:r>
    </w:p>
    <w:bookmarkEnd w:id="24"/>
    <w:bookmarkStart w:id="25" w:name="system-boundary"/>
    <w:p>
      <w:pPr>
        <w:pStyle w:val="Heading3"/>
      </w:pPr>
      <w:r>
        <w:t xml:space="preserve">System Boundary</w:t>
      </w:r>
    </w:p>
    <w:p>
      <w:pPr>
        <w:pStyle w:val="FirstParagraph"/>
      </w:pPr>
      <w:r>
        <w:t xml:space="preserve">The primary system boundary for the core PCF assessment is</w:t>
      </w:r>
      <w:r>
        <w:t xml:space="preserve"> </w:t>
      </w:r>
      <w:r>
        <w:rPr>
          <w:bCs/>
          <w:b/>
        </w:rPr>
        <w:t xml:space="preserve">"factory_gate" (cradle-to-gate)</w:t>
      </w:r>
      <w:r>
        <w:t xml:space="preserve">. This includes all greenhouse gas emissions associated with raw material extraction, processing, manufacturing, and transport up to the point the product leaves the qkhqqifimo manufacturing facility in China. Although the formal boundary is \'factory_gate\', a comprehensive high-detail PCF analysis as requested necessitates the inclusion of subsequent life cycle stages like the Use Phase and End-of-Life, which are presented as extended insights beyond the strict factory gate boundary.</w:t>
      </w:r>
    </w:p>
    <w:bookmarkEnd w:id="25"/>
    <w:bookmarkStart w:id="26"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Accounting Standard</w:t>
      </w:r>
    </w:p>
    <w:p>
      <w:pPr>
        <w:pStyle w:val="FirstParagraph"/>
      </w:pPr>
      <w:r>
        <w:t xml:space="preserve">This Product Carbon Footprint analysis adheres strictly to the</w:t>
      </w:r>
      <w:r>
        <w:t xml:space="preserve"> </w:t>
      </w:r>
      <w:r>
        <w:rPr>
          <w:bCs/>
          <w:b/>
        </w:rPr>
        <w:t xml:space="preserve">GHG Protocol Product Standard</w:t>
      </w:r>
      <w:r>
        <w:t xml:space="preserve">. The GHG Protocol provides internationally accepted accounting and reporting standards for greenhouse gas emissions.</w:t>
      </w:r>
    </w:p>
    <w:bookmarkEnd w:id="27"/>
    <w:bookmarkStart w:id="28" w:name="allocation"/>
    <w:p>
      <w:pPr>
        <w:pStyle w:val="Heading3"/>
      </w:pPr>
      <w:r>
        <w:t xml:space="preserve">Allocation</w:t>
      </w:r>
    </w:p>
    <w:p>
      <w:pPr>
        <w:pStyle w:val="FirstParagraph"/>
      </w:pPr>
      <w:r>
        <w:t xml:space="preserve">Emissions are allocated directly to the functional unit (1.0 unit of loxlmdlfqw). For shared processes or co-products, economic allocation is assumed where specific data is not available, ensuring consistency with GHG Protocol principles.</w:t>
      </w:r>
    </w:p>
    <w:p>
      <w:r>
        <w:pict>
          <v:rect style="width:0;height:1.5pt" o:hralign="center" o:hrstd="t" o:hr="t"/>
        </w:pict>
      </w:r>
    </w:p>
    <w:bookmarkEnd w:id="28"/>
    <w:bookmarkEnd w:id="29"/>
    <w:bookmarkStart w:id="35" w:name="X668a29dea6996859d52024a913312988ccfa3c9"/>
    <w:p>
      <w:pPr>
        <w:pStyle w:val="Heading2"/>
      </w:pPr>
      <w:r>
        <w:t xml:space="preserve">2. Map Lifecycle (LCI Inventory Stages) &amp; 3. Collect Data</w:t>
      </w:r>
    </w:p>
    <w:p>
      <w:pPr>
        <w:pStyle w:val="FirstParagraph"/>
      </w:pPr>
      <w:r>
        <w:t xml:space="preserve">The lifecycle of loxlmdlfqw is mapped across key stages to identify all relevant emission sources. Data collection involves both primary (company-specific, where available) and secondary (industry-average) data points, ensuring a comprehensive inventory.</w:t>
      </w:r>
    </w:p>
    <w:bookmarkStart w:id="30" w:name="X6deed21efe9eda1a5d64f3b407437bdbfe3e0cf"/>
    <w:p>
      <w:pPr>
        <w:pStyle w:val="Heading3"/>
      </w:pPr>
      <w:r>
        <w:t xml:space="preserve">Detailed Bill of Materials (BOM) - tzzvvyxj</w:t>
      </w:r>
    </w:p>
    <w:p>
      <w:pPr>
        <w:pStyle w:val="FirstParagraph"/>
      </w:pPr>
      <w:r>
        <w:t xml:space="preserve">The provided Detailed Bill of Materials (BOM), designated as \'tzzvvyxj\', serves as the foundational data for material impact calculation. For the purpose of this report, an illustrative BOM based on typical product components and the specified format (`ID, Description, Category, Process, Qty, Unit, Emission Factor, Total Carbon`) has been constructed. These values are used to calculate the upstream material emissions (Scope 3, Category 1 -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8.0</w:t>
            </w:r>
          </w:p>
        </w:tc>
        <w:tc>
          <w:tcPr/>
          <w:p>
            <w:pPr>
              <w:pStyle w:val="Compact"/>
              <w:jc w:val="left"/>
            </w:pPr>
            <w:r>
              <w:t xml:space="preserve">6.40</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iCs/>
          <w:i/>
        </w:rPr>
        <w:t xml:space="preserve">Note: The "Emission Factor" values are illustrative and derived from industry-standard databases (e.g., Ecoinvent, DEFRA) for similar materials and processes, adapted to the China production context and European supply chain focus.</w:t>
      </w:r>
    </w:p>
    <w:bookmarkEnd w:id="30"/>
    <w:bookmarkStart w:id="31" w:name="energy-inputs-production-phase"/>
    <w:p>
      <w:pPr>
        <w:pStyle w:val="Heading3"/>
      </w:pPr>
      <w:r>
        <w:t xml:space="preserve">Energy Inputs (Production Phase)</w:t>
      </w:r>
    </w:p>
    <w:p>
      <w:pPr>
        <w:pStyle w:val="FirstParagraph"/>
      </w:pPr>
      <w:r>
        <w:t xml:space="preserve">The energy consumption data for the production phase (Scope 2) in China is crucial for accurate emission calculation.</w:t>
      </w:r>
    </w:p>
    <w:p>
      <w:pPr>
        <w:numPr>
          <w:ilvl w:val="0"/>
          <w:numId w:val="1002"/>
        </w:numPr>
        <w:pStyle w:val="Compact"/>
      </w:pPr>
      <w:r>
        <w:rPr>
          <w:bCs/>
          <w:b/>
        </w:rPr>
        <w:t xml:space="preserve">Renewable Energy Usage:</w:t>
      </w:r>
      <w:r>
        <w:t xml:space="preserve"> </w:t>
      </w:r>
      <w:r>
        <w:t xml:space="preserve">uvoqjhfxpp (e.g., 60% renewable energy procurement for the manufacturing facility). This significantly reduces the grid electricity emission factor.</w:t>
      </w:r>
    </w:p>
    <w:p>
      <w:pPr>
        <w:numPr>
          <w:ilvl w:val="0"/>
          <w:numId w:val="1002"/>
        </w:numPr>
        <w:pStyle w:val="Compact"/>
      </w:pPr>
      <w:r>
        <w:rPr>
          <w:bCs/>
          <w:b/>
        </w:rPr>
        <w:t xml:space="preserve">Energy Intensity (kWh/unit):</w:t>
      </w:r>
      <w:r>
        <w:t xml:space="preserve"> </w:t>
      </w:r>
      <w:r>
        <w:t xml:space="preserve">huhlnqqqym (e.g., 2.5 kWh per unit of loxlmdlfqw).</w:t>
      </w:r>
    </w:p>
    <w:p>
      <w:pPr>
        <w:numPr>
          <w:ilvl w:val="0"/>
          <w:numId w:val="1002"/>
        </w:numPr>
        <w:pStyle w:val="Compact"/>
      </w:pPr>
      <w:r>
        <w:rPr>
          <w:bCs/>
          <w:b/>
        </w:rPr>
        <w:t xml:space="preserve">Grid Electricity Emission Factor (China):</w:t>
      </w:r>
      <w:r>
        <w:t xml:space="preserve"> </w:t>
      </w:r>
      <w:r>
        <w:t xml:space="preserve">Assumed 0.6 kg CO2e/kWh (blended for non-renewable portion, considering renewable energy usage).</w:t>
      </w:r>
    </w:p>
    <w:bookmarkEnd w:id="31"/>
    <w:bookmarkStart w:id="32" w:name="logistics-data-supply-chain"/>
    <w:p>
      <w:pPr>
        <w:pStyle w:val="Heading3"/>
      </w:pPr>
      <w:r>
        <w:t xml:space="preserve">Logistics Data (Supply Chain)</w:t>
      </w:r>
    </w:p>
    <w:p>
      <w:pPr>
        <w:pStyle w:val="FirstParagraph"/>
      </w:pPr>
      <w:r>
        <w:t xml:space="preserve">Transportation emissions (Scope 3, Category 4 - Upstream Transportation and Distribution) are calculated using specific transport modes, distances, and last-mile delivery channels.</w:t>
      </w:r>
    </w:p>
    <w:p>
      <w:pPr>
        <w:numPr>
          <w:ilvl w:val="0"/>
          <w:numId w:val="1003"/>
        </w:numPr>
        <w:pStyle w:val="Compact"/>
      </w:pPr>
      <w:r>
        <w:rPr>
          <w:bCs/>
          <w:b/>
        </w:rPr>
        <w:t xml:space="preserve">Transport Mode (Primary):</w:t>
      </w:r>
      <w:r>
        <w:t xml:space="preserve"> </w:t>
      </w:r>
      <w:r>
        <w:t xml:space="preserve">Select Mode (e.g., Ocean Freight for intercontinental, Road Freight for intra-Europe).</w:t>
      </w:r>
    </w:p>
    <w:p>
      <w:pPr>
        <w:numPr>
          <w:ilvl w:val="0"/>
          <w:numId w:val="1003"/>
        </w:numPr>
        <w:pStyle w:val="Compact"/>
      </w:pPr>
      <w:r>
        <w:rPr>
          <w:bCs/>
          <w:b/>
        </w:rPr>
        <w:t xml:space="preserve">Transport Distance (Ocean Freight to Europe):</w:t>
      </w:r>
      <w:r>
        <w:t xml:space="preserve"> </w:t>
      </w:r>
      <w:r>
        <w:t xml:space="preserve">klgiphttis (e.g., 18,000 km)</w:t>
      </w:r>
    </w:p>
    <w:p>
      <w:pPr>
        <w:numPr>
          <w:ilvl w:val="0"/>
          <w:numId w:val="1003"/>
        </w:numPr>
        <w:pStyle w:val="Compact"/>
      </w:pPr>
      <w:r>
        <w:rPr>
          <w:bCs/>
          <w:b/>
        </w:rPr>
        <w:t xml:space="preserve">Transport Distance (Road Freight in Europe):</w:t>
      </w:r>
      <w:r>
        <w:t xml:space="preserve"> </w:t>
      </w:r>
      <w:r>
        <w:t xml:space="preserve">(e.g., 500 km)</w:t>
      </w:r>
    </w:p>
    <w:p>
      <w:pPr>
        <w:numPr>
          <w:ilvl w:val="0"/>
          <w:numId w:val="1003"/>
        </w:numPr>
        <w:pStyle w:val="Compact"/>
      </w:pPr>
      <w:r>
        <w:rPr>
          <w:bCs/>
          <w:b/>
        </w:rPr>
        <w:t xml:space="preserve">Last-Mile Delivery Channel:</w:t>
      </w:r>
      <w:r>
        <w:t xml:space="preserve"> </w:t>
      </w:r>
      <w:r>
        <w:t xml:space="preserve">Delivery Type (e.g., Light Commercial Vehicle (LCV))</w:t>
      </w:r>
    </w:p>
    <w:p>
      <w:pPr>
        <w:pStyle w:val="FirstParagraph"/>
      </w:pPr>
      <w:r>
        <w:rPr>
          <w:iCs/>
          <w:i/>
        </w:rPr>
        <w:t xml:space="preserve">Note: Emission factors for transport modes are based on DEFRA 2025/2026 guidelines for freight.</w:t>
      </w:r>
    </w:p>
    <w:bookmarkEnd w:id="32"/>
    <w:bookmarkStart w:id="33" w:name="use-phase-data"/>
    <w:p>
      <w:pPr>
        <w:pStyle w:val="Heading3"/>
      </w:pPr>
      <w:r>
        <w:t xml:space="preserve">Use Phase Data</w:t>
      </w:r>
    </w:p>
    <w:p>
      <w:pPr>
        <w:pStyle w:val="FirstParagraph"/>
      </w:pPr>
      <w:r>
        <w:t xml:space="preserve">The use phase (Scope 3, Category 11 - Use of Sold Products) significantly contributes to the overall product footprint for energy-consuming products.</w:t>
      </w:r>
    </w:p>
    <w:p>
      <w:pPr>
        <w:numPr>
          <w:ilvl w:val="0"/>
          <w:numId w:val="1004"/>
        </w:numPr>
        <w:pStyle w:val="Compact"/>
      </w:pPr>
      <w:r>
        <w:rPr>
          <w:bCs/>
          <w:b/>
        </w:rPr>
        <w:t xml:space="preserve">Product Lifespan:</w:t>
      </w:r>
      <w:r>
        <w:t xml:space="preserve"> </w:t>
      </w:r>
      <w:r>
        <w:t xml:space="preserve">zldopmdjze (e.g., 5 years)</w:t>
      </w:r>
    </w:p>
    <w:p>
      <w:pPr>
        <w:numPr>
          <w:ilvl w:val="0"/>
          <w:numId w:val="1004"/>
        </w:numPr>
        <w:pStyle w:val="Compact"/>
      </w:pPr>
      <w:r>
        <w:rPr>
          <w:bCs/>
          <w:b/>
        </w:rPr>
        <w:t xml:space="preserve">Energy Consumption in Use:</w:t>
      </w:r>
      <w:r>
        <w:t xml:space="preserve"> </w:t>
      </w:r>
      <w:r>
        <w:t xml:space="preserve">urmtylpnlj (e.g., 10 kWh per year)</w:t>
      </w:r>
    </w:p>
    <w:p>
      <w:pPr>
        <w:numPr>
          <w:ilvl w:val="0"/>
          <w:numId w:val="1004"/>
        </w:numPr>
        <w:pStyle w:val="Compact"/>
      </w:pPr>
      <w:r>
        <w:rPr>
          <w:bCs/>
          <w:b/>
        </w:rPr>
        <w:t xml:space="preserve">Average European Grid Electricity Emission Factor:</w:t>
      </w:r>
      <w:r>
        <w:t xml:space="preserve"> </w:t>
      </w:r>
      <w:r>
        <w:t xml:space="preserve">Assumed 0.25 kg CO2e/kWh (representing the average grid mix where the product is used in Europe).</w:t>
      </w:r>
    </w:p>
    <w:bookmarkEnd w:id="33"/>
    <w:bookmarkStart w:id="34" w:name="end-of-life-eol-scenarios"/>
    <w:p>
      <w:pPr>
        <w:pStyle w:val="Heading3"/>
      </w:pPr>
      <w:r>
        <w:t xml:space="preserve">End-of-Life (EoL) Scenarios</w:t>
      </w:r>
    </w:p>
    <w:p>
      <w:pPr>
        <w:pStyle w:val="FirstParagraph"/>
      </w:pPr>
      <w:r>
        <w:t xml:space="preserve">End-of-Life emissions (Scope 3, Category 12 - End-of-Life Treatment of Sold Products) consider disposal and recycling impacts.</w:t>
      </w:r>
    </w:p>
    <w:p>
      <w:pPr>
        <w:numPr>
          <w:ilvl w:val="0"/>
          <w:numId w:val="1005"/>
        </w:numPr>
        <w:pStyle w:val="Compact"/>
      </w:pPr>
      <w:r>
        <w:rPr>
          <w:bCs/>
          <w:b/>
        </w:rPr>
        <w:t xml:space="preserve">Recyclability Percentage:</w:t>
      </w:r>
      <w:r>
        <w:t xml:space="preserve"> </w:t>
      </w:r>
      <w:r>
        <w:t xml:space="preserve">soliysyggu (e.g., 70% of material mass is recyclable)</w:t>
      </w:r>
    </w:p>
    <w:p>
      <w:pPr>
        <w:numPr>
          <w:ilvl w:val="0"/>
          <w:numId w:val="1005"/>
        </w:numPr>
        <w:pStyle w:val="Compact"/>
      </w:pPr>
      <w:r>
        <w:rPr>
          <w:bCs/>
          <w:b/>
        </w:rPr>
        <w:t xml:space="preserve">Circular/Take-back Programs:</w:t>
      </w:r>
      <w:r>
        <w:t xml:space="preserve"> </w:t>
      </w:r>
      <w:r>
        <w:t xml:space="preserve">xtwzushnso (e.g., active take-back program for key components, reducing landfill dependency).</w:t>
      </w:r>
    </w:p>
    <w:p>
      <w:pPr>
        <w:numPr>
          <w:ilvl w:val="0"/>
          <w:numId w:val="1005"/>
        </w:numPr>
        <w:pStyle w:val="Compact"/>
      </w:pPr>
      <w:r>
        <w:rPr>
          <w:bCs/>
          <w:b/>
        </w:rPr>
        <w:t xml:space="preserve">Disposal Emission Factor (Landfill):</w:t>
      </w:r>
      <w:r>
        <w:t xml:space="preserve"> </w:t>
      </w:r>
      <w:r>
        <w:t xml:space="preserve">Assumed 0.8 kg CO2e/kg (for non-recycled waste).</w:t>
      </w:r>
    </w:p>
    <w:p>
      <w:pPr>
        <w:numPr>
          <w:ilvl w:val="0"/>
          <w:numId w:val="1005"/>
        </w:numPr>
        <w:pStyle w:val="Compact"/>
      </w:pPr>
      <w:r>
        <w:rPr>
          <w:bCs/>
          <w:b/>
        </w:rPr>
        <w:t xml:space="preserve">Recycling Credit/Benefit:</w:t>
      </w:r>
      <w:r>
        <w:t xml:space="preserve"> </w:t>
      </w:r>
      <w:r>
        <w:t xml:space="preserve">Assumed -0.5 kg CO2e/kg (for recycled materials, accounting for avoided virgin material production).</w:t>
      </w:r>
    </w:p>
    <w:p>
      <w:r>
        <w:pict>
          <v:rect style="width:0;height:1.5pt" o:hralign="center" o:hrstd="t" o:hr="t"/>
        </w:pict>
      </w:r>
    </w:p>
    <w:bookmarkEnd w:id="34"/>
    <w:bookmarkEnd w:id="35"/>
    <w:bookmarkStart w:id="47" w:name="Xb404f6bea4a0013006ec7a9103609d9ea6643c1"/>
    <w:p>
      <w:pPr>
        <w:pStyle w:val="Heading2"/>
      </w:pPr>
      <w:r>
        <w:t xml:space="preserve">4. Calculate Emissions (Activity * Emission Factor = CO2e)</w:t>
      </w:r>
    </w:p>
    <w:p>
      <w:pPr>
        <w:pStyle w:val="FirstParagraph"/>
      </w:pPr>
      <w:r>
        <w:t xml:space="preserve">Emissions are calculated for each life cycle stage using the activity data collected and appropriate emission factors. All calculations are expressed in CO2 equivalent (CO2e), encompassing all relevant greenhouse gases (CO2, CH4, N2O, HFCs, PFCs, SF6, NF3).</w:t>
      </w:r>
    </w:p>
    <w:bookmarkStart w:id="36" w:name="ghg-protocol-categorization"/>
    <w:p>
      <w:pPr>
        <w:pStyle w:val="Heading3"/>
      </w:pPr>
      <w:r>
        <w:t xml:space="preserve">GHG Protocol Categorization</w:t>
      </w:r>
    </w:p>
    <w:p>
      <w:pPr>
        <w:pStyle w:val="FirstParagraph"/>
      </w:pPr>
      <w:r>
        <w:t xml:space="preserve">Emissions are categorized into Scope 1, Scope 2, and Scope 3 as per GHG Protocol standards.</w:t>
      </w:r>
    </w:p>
    <w:p>
      <w:pPr>
        <w:numPr>
          <w:ilvl w:val="0"/>
          <w:numId w:val="1006"/>
        </w:numPr>
        <w:pStyle w:val="Compact"/>
      </w:pPr>
      <w:r>
        <w:rPr>
          <w:bCs/>
          <w:b/>
        </w:rPr>
        <w:t xml:space="preserve">Scope 1 (Direct Emissions):</w:t>
      </w:r>
      <w:r>
        <w:t xml:space="preserve"> </w:t>
      </w:r>
      <w:r>
        <w:t xml:space="preserve">Emissions from sources owned or controlled by qkhqqifimo. For a \'factory_gate\' boundary, these would typically include direct fuel combustion in manufacturing processes (e.g., furnaces, on-site vehicles). For this product-level assessment, direct process emissions related to specific manufacturing steps of \'loxlmdlfqw\' are considered within the manufacturing phase.</w:t>
      </w:r>
    </w:p>
    <w:p>
      <w:pPr>
        <w:numPr>
          <w:ilvl w:val="0"/>
          <w:numId w:val="1006"/>
        </w:numPr>
        <w:pStyle w:val="Compact"/>
      </w:pPr>
      <w:r>
        <w:rPr>
          <w:bCs/>
          <w:b/>
        </w:rPr>
        <w:t xml:space="preserve">Scope 2 (Indirect Emissions from Purchased Energy):</w:t>
      </w:r>
      <w:r>
        <w:t xml:space="preserve"> </w:t>
      </w:r>
      <w:r>
        <w:t xml:space="preserve">Emissions from the generation of purchased electricity, heat, or steam consumed by qkhqqifimo\'s manufacturing facility in China.</w:t>
      </w:r>
    </w:p>
    <w:p>
      <w:pPr>
        <w:numPr>
          <w:ilvl w:val="0"/>
          <w:numId w:val="1006"/>
        </w:numPr>
        <w:pStyle w:val="Compact"/>
      </w:pPr>
      <w:r>
        <w:rPr>
          <w:bCs/>
          <w:b/>
        </w:rPr>
        <w:t xml:space="preserve">Scope 3 (Other Indirect Emissions - Value Chain):</w:t>
      </w:r>
      <w:r>
        <w:t xml:space="preserve"> </w:t>
      </w:r>
      <w:r>
        <w:t xml:space="preserve">All other indirect emissions occurring in the value chain, both upstream and downstream. This scope typically accounts for the largest portion of a product\'s footprint.</w:t>
      </w:r>
    </w:p>
    <w:bookmarkEnd w:id="36"/>
    <w:bookmarkStart w:id="37" w:name="X504f4a86e01fdcfa46a4589bb1b5e0cfaad8629"/>
    <w:p>
      <w:pPr>
        <w:pStyle w:val="Heading3"/>
      </w:pPr>
      <w:r>
        <w:t xml:space="preserve">2026 Land Sector and Removals (LSR) Standard Update</w:t>
      </w:r>
    </w:p>
    <w:p>
      <w:pPr>
        <w:pStyle w:val="FirstParagraph"/>
      </w:pPr>
      <w:r>
        <w:t xml:space="preserve">The analysis acknowledges the 2026 Land Sector and Removals (LSR) Standard. While direct land use change for the specific product components is complex to quantify without direct supplier data, the standard\'s principles are considered in material sourcing assumptions, particularly for biogenic materials (e.g., cardboard). The LSR Standard provides requirements and guidance to quantify, report, and track land emissions and CO2 removals, and takes effect on January 1, 2027.</w:t>
      </w:r>
    </w:p>
    <w:bookmarkEnd w:id="37"/>
    <w:bookmarkStart w:id="38" w:name="scope-3-compliance-2026-requirements"/>
    <w:p>
      <w:pPr>
        <w:pStyle w:val="Heading3"/>
      </w:pPr>
      <w:r>
        <w:t xml:space="preserve">Scope 3 Compliance (2026 Requirements)</w:t>
      </w:r>
    </w:p>
    <w:p>
      <w:pPr>
        <w:pStyle w:val="FirstParagraph"/>
      </w:pPr>
      <w:r>
        <w:t xml:space="preserve">In line with the 2026 GHG Protocol Scope 3 revisions, this assessment aims for at least 95% coverage of required Scope 3 emissions. All material categories, transportation, use phase, and end-of-life impacts are included to meet this stringent requirement. Any minor exclusions are quantified and justified.</w:t>
      </w:r>
    </w:p>
    <w:bookmarkEnd w:id="38"/>
    <w:bookmarkStart w:id="44" w:name="emission-calculation-breakdown"/>
    <w:p>
      <w:pPr>
        <w:pStyle w:val="Heading3"/>
      </w:pPr>
      <w:r>
        <w:t xml:space="preserve">Emission Calculation Breakdown</w:t>
      </w:r>
    </w:p>
    <w:bookmarkStart w:id="39" w:name="Xf6bb2453ddf14aa8c998ebbac20e316dfb0fb4a"/>
    <w:p>
      <w:pPr>
        <w:pStyle w:val="Heading4"/>
      </w:pPr>
      <w:r>
        <w:t xml:space="preserve">Raw Materials (Scope 3, Category 1: Purchased Goods and Services)</w:t>
      </w:r>
    </w:p>
    <w:p>
      <w:pPr>
        <w:pStyle w:val="FirstParagraph"/>
      </w:pPr>
      <w:r>
        <w:t xml:space="preserve">Total raw material emissions are calculated by summing the \'Total Carbon\' for each item in the Detailed BOM.</w:t>
      </w:r>
    </w:p>
    <w:p>
      <w:pPr>
        <w:pStyle w:val="BodyText"/>
      </w:pPr>
      <w:r>
        <w:t xml:space="preserve">Total Material Emissions = Σ (Qty * Emission Factor) from BOM table.</w:t>
      </w:r>
    </w:p>
    <w:p>
      <w:pPr>
        <w:numPr>
          <w:ilvl w:val="0"/>
          <w:numId w:val="1007"/>
        </w:numPr>
        <w:pStyle w:val="Compact"/>
      </w:pPr>
      <w:r>
        <w:t xml:space="preserve">Aluminum Alloy: 0.8 kg * 8.0 kgCO2e/kg = 6.40 kgCO2e</w:t>
      </w:r>
    </w:p>
    <w:p>
      <w:pPr>
        <w:numPr>
          <w:ilvl w:val="0"/>
          <w:numId w:val="1007"/>
        </w:numPr>
        <w:pStyle w:val="Compact"/>
      </w:pPr>
      <w:r>
        <w:t xml:space="preserve">ABS Plastic: 0.3 kg * 3.5 kgCO2e/kg = 1.05 kgCO2e</w:t>
      </w:r>
    </w:p>
    <w:p>
      <w:pPr>
        <w:numPr>
          <w:ilvl w:val="0"/>
          <w:numId w:val="1007"/>
        </w:numPr>
        <w:pStyle w:val="Compact"/>
      </w:pPr>
      <w:r>
        <w:t xml:space="preserve">Lithium-ion Battery: 0.1 unit * 15.0 kgCO2e/unit = 1.50 kgCO2e</w:t>
      </w:r>
    </w:p>
    <w:p>
      <w:pPr>
        <w:numPr>
          <w:ilvl w:val="0"/>
          <w:numId w:val="1007"/>
        </w:numPr>
        <w:pStyle w:val="Compact"/>
      </w:pPr>
      <w:r>
        <w:t xml:space="preserve">Printed Circuit Board (PCB): 0.05 unit * 10.0 kgCO2e/unit = 0.50 kgCO2e</w:t>
      </w:r>
    </w:p>
    <w:p>
      <w:pPr>
        <w:numPr>
          <w:ilvl w:val="0"/>
          <w:numId w:val="1007"/>
        </w:numPr>
        <w:pStyle w:val="Compact"/>
      </w:pPr>
      <w:r>
        <w:t xml:space="preserve">Packaging Cardboard: 0.2 kg * 1.2 kgCO2e/kg = 0.24 kgCO2e</w:t>
      </w:r>
    </w:p>
    <w:p>
      <w:pPr>
        <w:numPr>
          <w:ilvl w:val="0"/>
          <w:numId w:val="1007"/>
        </w:numPr>
        <w:pStyle w:val="Compact"/>
      </w:pPr>
      <w:r>
        <w:rPr>
          <w:bCs/>
          <w:b/>
        </w:rPr>
        <w:t xml:space="preserve">Subtotal Raw Materials: 9.69 kgCO2e</w:t>
      </w:r>
    </w:p>
    <w:bookmarkEnd w:id="39"/>
    <w:bookmarkStart w:id="40" w:name="manufacturing-scope-1-2"/>
    <w:p>
      <w:pPr>
        <w:pStyle w:val="Heading4"/>
      </w:pPr>
      <w:r>
        <w:t xml:space="preserve">Manufacturing (Scope 1 &amp; 2)</w:t>
      </w:r>
    </w:p>
    <w:p>
      <w:pPr>
        <w:pStyle w:val="FirstParagraph"/>
      </w:pPr>
      <w:r>
        <w:t xml:space="preserve">This includes direct process emissions (Scope 1) and purchased electricity (Scope 2) at the China facility.</w:t>
      </w:r>
    </w:p>
    <w:p>
      <w:pPr>
        <w:numPr>
          <w:ilvl w:val="0"/>
          <w:numId w:val="1008"/>
        </w:numPr>
        <w:pStyle w:val="Compact"/>
      </w:pPr>
      <w:r>
        <w:rPr>
          <w:bCs/>
          <w:b/>
        </w:rPr>
        <w:t xml:space="preserve">Scope 1 (Direct Process Emissions):</w:t>
      </w:r>
      <w:r>
        <w:t xml:space="preserve"> </w:t>
      </w:r>
      <w:r>
        <w:t xml:space="preserve">Assumed 0.5 kgCO2e per unit (illustrative for non-energy process emissions specific to loxlmdlfqw production).</w:t>
      </w:r>
    </w:p>
    <w:p>
      <w:pPr>
        <w:numPr>
          <w:ilvl w:val="0"/>
          <w:numId w:val="1008"/>
        </w:numPr>
        <w:pStyle w:val="Compact"/>
      </w:pPr>
      <w:r>
        <w:rPr>
          <w:bCs/>
          <w:b/>
        </w:rPr>
        <w:t xml:space="preserve">Scope 2 (Purchased Electricity):</w:t>
      </w:r>
    </w:p>
    <w:p>
      <w:pPr>
        <w:numPr>
          <w:ilvl w:val="1"/>
          <w:numId w:val="1009"/>
        </w:numPr>
        <w:pStyle w:val="Compact"/>
      </w:pPr>
      <w:r>
        <w:t xml:space="preserve">Energy Intensity: 2.5 kWh/unit (huhlnqqqym)</w:t>
      </w:r>
    </w:p>
    <w:p>
      <w:pPr>
        <w:numPr>
          <w:ilvl w:val="1"/>
          <w:numId w:val="1009"/>
        </w:numPr>
        <w:pStyle w:val="Compact"/>
      </w:pPr>
      <w:r>
        <w:t xml:space="preserve">Renewable Energy Usage: 60% (uvoqjhfxpp)</w:t>
      </w:r>
    </w:p>
    <w:p>
      <w:pPr>
        <w:numPr>
          <w:ilvl w:val="1"/>
          <w:numId w:val="1009"/>
        </w:numPr>
        <w:pStyle w:val="Compact"/>
      </w:pPr>
      <w:r>
        <w:t xml:space="preserve">Non-renewable electricity: 2.5 kWh/unit * (1 - 0.60) = 1.0 kWh/unit</w:t>
      </w:r>
    </w:p>
    <w:p>
      <w:pPr>
        <w:numPr>
          <w:ilvl w:val="1"/>
          <w:numId w:val="1009"/>
        </w:numPr>
        <w:pStyle w:val="Compact"/>
      </w:pPr>
      <w:r>
        <w:t xml:space="preserve">Grid Electricity Factor (China): 0.6 kgCO2e/kWh</w:t>
      </w:r>
    </w:p>
    <w:p>
      <w:pPr>
        <w:numPr>
          <w:ilvl w:val="1"/>
          <w:numId w:val="1009"/>
        </w:numPr>
        <w:pStyle w:val="Compact"/>
      </w:pPr>
      <w:r>
        <w:t xml:space="preserve">Emissions from Purchased Electricity: 1.0 kWh/unit * 0.6 kgCO2e/kWh = 0.60 kgCO2e</w:t>
      </w:r>
    </w:p>
    <w:p>
      <w:pPr>
        <w:numPr>
          <w:ilvl w:val="0"/>
          <w:numId w:val="1008"/>
        </w:numPr>
        <w:pStyle w:val="Compact"/>
      </w:pPr>
      <w:r>
        <w:rPr>
          <w:bCs/>
          <w:b/>
        </w:rPr>
        <w:t xml:space="preserve">Subtotal Manufacturing: 0.5 kgCO2e (Scope 1) + 0.60 kgCO2e (Scope 2) = 1.10 kgCO2e</w:t>
      </w:r>
    </w:p>
    <w:bookmarkEnd w:id="40"/>
    <w:bookmarkStart w:id="41" w:name="X9d5272df0938084458418fd068ffeb16c54dc65"/>
    <w:p>
      <w:pPr>
        <w:pStyle w:val="Heading4"/>
      </w:pPr>
      <w:r>
        <w:t xml:space="preserve">Upstream Transportation (Scope 3, Category 4)</w:t>
      </w:r>
    </w:p>
    <w:p>
      <w:pPr>
        <w:pStyle w:val="FirstParagraph"/>
      </w:pPr>
      <w:r>
        <w:t xml:space="preserve">Transport of raw materials to the China manufacturing facility and finished product to Europe.</w:t>
      </w:r>
    </w:p>
    <w:p>
      <w:pPr>
        <w:numPr>
          <w:ilvl w:val="0"/>
          <w:numId w:val="1010"/>
        </w:numPr>
        <w:pStyle w:val="Compact"/>
      </w:pPr>
      <w:r>
        <w:rPr>
          <w:bCs/>
          <w:b/>
        </w:rPr>
        <w:t xml:space="preserve">Raw Material Inbound (e.g., from Europe/Asia to China):</w:t>
      </w:r>
    </w:p>
    <w:p>
      <w:pPr>
        <w:numPr>
          <w:ilvl w:val="1"/>
          <w:numId w:val="1011"/>
        </w:numPr>
        <w:pStyle w:val="Compact"/>
      </w:pPr>
      <w:r>
        <w:t xml:space="preserve">Average material weight per unit: (0.8+0.3+0.1+0.05+0.2) kg = 1.45 kg/unit</w:t>
      </w:r>
    </w:p>
    <w:p>
      <w:pPr>
        <w:numPr>
          <w:ilvl w:val="1"/>
          <w:numId w:val="1011"/>
        </w:numPr>
        <w:pStyle w:val="Compact"/>
      </w:pPr>
      <w:r>
        <w:t xml:space="preserve">Assumed average inbound distance: 5,000 km (ocean freight)</w:t>
      </w:r>
    </w:p>
    <w:p>
      <w:pPr>
        <w:numPr>
          <w:ilvl w:val="1"/>
          <w:numId w:val="1011"/>
        </w:numPr>
        <w:pStyle w:val="Compact"/>
      </w:pPr>
      <w:r>
        <w:t xml:space="preserve">Ocean Freight Emission Factor: 0.01 kgCO2e/tkm</w:t>
      </w:r>
    </w:p>
    <w:p>
      <w:pPr>
        <w:numPr>
          <w:ilvl w:val="1"/>
          <w:numId w:val="1011"/>
        </w:numPr>
        <w:pStyle w:val="Compact"/>
      </w:pPr>
      <w:r>
        <w:t xml:space="preserve">Emissions: 1.45 kg/unit * (5000 km / 1000 kg/t) * 0.01 kgCO2e/tkm = 0.0725 kgCO2e</w:t>
      </w:r>
    </w:p>
    <w:p>
      <w:pPr>
        <w:numPr>
          <w:ilvl w:val="0"/>
          <w:numId w:val="1010"/>
        </w:numPr>
        <w:pStyle w:val="Compact"/>
      </w:pPr>
      <w:r>
        <w:rPr>
          <w:bCs/>
          <w:b/>
        </w:rPr>
        <w:t xml:space="preserve">Finished Product Outbound (China to Europe):</w:t>
      </w:r>
    </w:p>
    <w:p>
      <w:pPr>
        <w:numPr>
          <w:ilvl w:val="1"/>
          <w:numId w:val="1012"/>
        </w:numPr>
        <w:pStyle w:val="Compact"/>
      </w:pPr>
      <w:r>
        <w:t xml:space="preserve">Product weight: 1.45 kg/unit</w:t>
      </w:r>
    </w:p>
    <w:p>
      <w:pPr>
        <w:numPr>
          <w:ilvl w:val="1"/>
          <w:numId w:val="1012"/>
        </w:numPr>
        <w:pStyle w:val="Compact"/>
      </w:pPr>
      <w:r>
        <w:t xml:space="preserve">Transport Mode: Ocean Freight (Select Mode)</w:t>
      </w:r>
    </w:p>
    <w:p>
      <w:pPr>
        <w:numPr>
          <w:ilvl w:val="1"/>
          <w:numId w:val="1012"/>
        </w:numPr>
        <w:pStyle w:val="Compact"/>
      </w:pPr>
      <w:r>
        <w:t xml:space="preserve">Transport Distance: 18,000 km (klgiphttis)</w:t>
      </w:r>
    </w:p>
    <w:p>
      <w:pPr>
        <w:numPr>
          <w:ilvl w:val="1"/>
          <w:numId w:val="1012"/>
        </w:numPr>
        <w:pStyle w:val="Compact"/>
      </w:pPr>
      <w:r>
        <w:t xml:space="preserve">Ocean Freight Emission Factor: 0.01 kgCO2e/tkm</w:t>
      </w:r>
    </w:p>
    <w:p>
      <w:pPr>
        <w:numPr>
          <w:ilvl w:val="1"/>
          <w:numId w:val="1012"/>
        </w:numPr>
        <w:pStyle w:val="Compact"/>
      </w:pPr>
      <w:r>
        <w:t xml:space="preserve">Emissions: 1.45 kg/unit * (18000 km / 1000 kg/t) * 0.01 kgCO2e/tkm = 0.261 kgCO2e</w:t>
      </w:r>
    </w:p>
    <w:p>
      <w:pPr>
        <w:numPr>
          <w:ilvl w:val="0"/>
          <w:numId w:val="1010"/>
        </w:numPr>
        <w:pStyle w:val="Compact"/>
      </w:pPr>
      <w:r>
        <w:rPr>
          <w:bCs/>
          <w:b/>
        </w:rPr>
        <w:t xml:space="preserve">Last-Mile Delivery (Europe - Road Freight):</w:t>
      </w:r>
    </w:p>
    <w:p>
      <w:pPr>
        <w:numPr>
          <w:ilvl w:val="1"/>
          <w:numId w:val="1013"/>
        </w:numPr>
        <w:pStyle w:val="Compact"/>
      </w:pPr>
      <w:r>
        <w:t xml:space="preserve">Product weight: 1.45 kg/unit</w:t>
      </w:r>
    </w:p>
    <w:p>
      <w:pPr>
        <w:numPr>
          <w:ilvl w:val="1"/>
          <w:numId w:val="1013"/>
        </w:numPr>
        <w:pStyle w:val="Compact"/>
      </w:pPr>
      <w:r>
        <w:t xml:space="preserve">Transport Mode: Light Commercial Vehicle (LCV) (Delivery Type)</w:t>
      </w:r>
    </w:p>
    <w:p>
      <w:pPr>
        <w:numPr>
          <w:ilvl w:val="1"/>
          <w:numId w:val="1013"/>
        </w:numPr>
        <w:pStyle w:val="Compact"/>
      </w:pPr>
      <w:r>
        <w:t xml:space="preserve">Transport Distance: 500 km (illustrative)</w:t>
      </w:r>
    </w:p>
    <w:p>
      <w:pPr>
        <w:numPr>
          <w:ilvl w:val="1"/>
          <w:numId w:val="1013"/>
        </w:numPr>
        <w:pStyle w:val="Compact"/>
      </w:pPr>
      <w:r>
        <w:t xml:space="preserve">LCV Emission Factor: 0.08 kgCO2e/tkm (illustrative DEFRA factor)</w:t>
      </w:r>
    </w:p>
    <w:p>
      <w:pPr>
        <w:numPr>
          <w:ilvl w:val="1"/>
          <w:numId w:val="1013"/>
        </w:numPr>
        <w:pStyle w:val="Compact"/>
      </w:pPr>
      <w:r>
        <w:t xml:space="preserve">Emissions: 1.45 kg/unit * (500 km / 1000 kg/t) * 0.08 kgCO2e/tkm = 0.058 kgCO2e</w:t>
      </w:r>
    </w:p>
    <w:p>
      <w:pPr>
        <w:numPr>
          <w:ilvl w:val="0"/>
          <w:numId w:val="1010"/>
        </w:numPr>
        <w:pStyle w:val="Compact"/>
      </w:pPr>
      <w:r>
        <w:rPr>
          <w:bCs/>
          <w:b/>
        </w:rPr>
        <w:t xml:space="preserve">Subtotal Upstream Transportation: 0.0725 + 0.261 + 0.058 = 0.3915 kgCO2e</w:t>
      </w:r>
    </w:p>
    <w:bookmarkEnd w:id="41"/>
    <w:bookmarkStart w:id="42" w:name="use-phase-scope-3-category-11"/>
    <w:p>
      <w:pPr>
        <w:pStyle w:val="Heading4"/>
      </w:pPr>
      <w:r>
        <w:t xml:space="preserve">Use Phase (Scope 3, Category 11)</w:t>
      </w:r>
    </w:p>
    <w:p>
      <w:pPr>
        <w:pStyle w:val="FirstParagraph"/>
      </w:pPr>
      <w:r>
        <w:t xml:space="preserve">Energy consumption during the product\'s active lifespan.</w:t>
      </w:r>
    </w:p>
    <w:p>
      <w:pPr>
        <w:numPr>
          <w:ilvl w:val="0"/>
          <w:numId w:val="1014"/>
        </w:numPr>
        <w:pStyle w:val="Compact"/>
      </w:pPr>
      <w:r>
        <w:t xml:space="preserve">Product Lifespan: 5 years (zldopmdjze)</w:t>
      </w:r>
    </w:p>
    <w:p>
      <w:pPr>
        <w:numPr>
          <w:ilvl w:val="0"/>
          <w:numId w:val="1014"/>
        </w:numPr>
        <w:pStyle w:val="Compact"/>
      </w:pPr>
      <w:r>
        <w:t xml:space="preserve">Energy Consumption in Use: 10 kWh/year (urmtylpnlj)</w:t>
      </w:r>
    </w:p>
    <w:p>
      <w:pPr>
        <w:numPr>
          <w:ilvl w:val="0"/>
          <w:numId w:val="1014"/>
        </w:numPr>
        <w:pStyle w:val="Compact"/>
      </w:pPr>
      <w:r>
        <w:t xml:space="preserve">Total Energy in Use: 5 years * 10 kWh/year = 50 kWh</w:t>
      </w:r>
    </w:p>
    <w:p>
      <w:pPr>
        <w:numPr>
          <w:ilvl w:val="0"/>
          <w:numId w:val="1014"/>
        </w:numPr>
        <w:pStyle w:val="Compact"/>
      </w:pPr>
      <w:r>
        <w:t xml:space="preserve">Average European Grid Electricity Emission Factor: 0.25 kgCO2e/kWh</w:t>
      </w:r>
    </w:p>
    <w:p>
      <w:pPr>
        <w:numPr>
          <w:ilvl w:val="0"/>
          <w:numId w:val="1014"/>
        </w:numPr>
        <w:pStyle w:val="Compact"/>
      </w:pPr>
      <w:r>
        <w:t xml:space="preserve">Emissions: 50 kWh * 0.25 kgCO2e/kWh = 12.50 kgCO2e</w:t>
      </w:r>
    </w:p>
    <w:p>
      <w:pPr>
        <w:numPr>
          <w:ilvl w:val="0"/>
          <w:numId w:val="1014"/>
        </w:numPr>
        <w:pStyle w:val="Compact"/>
      </w:pPr>
      <w:r>
        <w:rPr>
          <w:bCs/>
          <w:b/>
        </w:rPr>
        <w:t xml:space="preserve">Subtotal Use Phase: 12.50 kgCO2e</w:t>
      </w:r>
    </w:p>
    <w:bookmarkEnd w:id="42"/>
    <w:bookmarkStart w:id="43" w:name="end-of-life-eol-scope-3-category-12"/>
    <w:p>
      <w:pPr>
        <w:pStyle w:val="Heading4"/>
      </w:pPr>
      <w:r>
        <w:t xml:space="preserve">End-of-Life (EoL) (Scope 3, Category 12)</w:t>
      </w:r>
    </w:p>
    <w:p>
      <w:pPr>
        <w:pStyle w:val="FirstParagraph"/>
      </w:pPr>
      <w:r>
        <w:t xml:space="preserve">Disposal and recycling impacts.</w:t>
      </w:r>
    </w:p>
    <w:p>
      <w:pPr>
        <w:numPr>
          <w:ilvl w:val="0"/>
          <w:numId w:val="1015"/>
        </w:numPr>
        <w:pStyle w:val="Compact"/>
      </w:pPr>
      <w:r>
        <w:t xml:space="preserve">Product weight: 1.45 kg/unit</w:t>
      </w:r>
    </w:p>
    <w:p>
      <w:pPr>
        <w:numPr>
          <w:ilvl w:val="0"/>
          <w:numId w:val="1015"/>
        </w:numPr>
        <w:pStyle w:val="Compact"/>
      </w:pPr>
      <w:r>
        <w:t xml:space="preserve">Recyclability Percentage: 70% (soliysyggu)</w:t>
      </w:r>
    </w:p>
    <w:p>
      <w:pPr>
        <w:numPr>
          <w:ilvl w:val="0"/>
          <w:numId w:val="1015"/>
        </w:numPr>
        <w:pStyle w:val="Compact"/>
      </w:pPr>
      <w:r>
        <w:t xml:space="preserve">Waste to Landfill: 1.45 kg * (1 - 0.70) = 0.435 kg</w:t>
      </w:r>
    </w:p>
    <w:p>
      <w:pPr>
        <w:numPr>
          <w:ilvl w:val="0"/>
          <w:numId w:val="1015"/>
        </w:numPr>
        <w:pStyle w:val="Compact"/>
      </w:pPr>
      <w:r>
        <w:t xml:space="preserve">Recycled Material: 1.45 kg * 0.70 = 1.015 kg</w:t>
      </w:r>
    </w:p>
    <w:p>
      <w:pPr>
        <w:numPr>
          <w:ilvl w:val="0"/>
          <w:numId w:val="1015"/>
        </w:numPr>
        <w:pStyle w:val="Compact"/>
      </w:pPr>
      <w:r>
        <w:t xml:space="preserve">Emissions from Landfill: 0.435 kg * 0.8 kgCO2e/kg = 0.348 kgCO2e</w:t>
      </w:r>
    </w:p>
    <w:p>
      <w:pPr>
        <w:numPr>
          <w:ilvl w:val="0"/>
          <w:numId w:val="1015"/>
        </w:numPr>
        <w:pStyle w:val="Compact"/>
      </w:pPr>
      <w:r>
        <w:t xml:space="preserve">Recycling Benefit (avoided emissions): 1.015 kg * (-0.5 kgCO2e/kg) = -0.5075 kgCO2e</w:t>
      </w:r>
    </w:p>
    <w:p>
      <w:pPr>
        <w:numPr>
          <w:ilvl w:val="0"/>
          <w:numId w:val="1015"/>
        </w:numPr>
        <w:pStyle w:val="Compact"/>
      </w:pPr>
      <w:r>
        <w:t xml:space="preserve">Circular/Take-back Programs (xtwzushnso): Acknowledged to potentially further reduce landfill waste and enhance recycling efficiency, but not quantified as a direct emission factor in this illustrative calculation without specific data.</w:t>
      </w:r>
    </w:p>
    <w:p>
      <w:pPr>
        <w:numPr>
          <w:ilvl w:val="0"/>
          <w:numId w:val="1015"/>
        </w:numPr>
        <w:pStyle w:val="Compact"/>
      </w:pPr>
      <w:r>
        <w:rPr>
          <w:bCs/>
          <w:b/>
        </w:rPr>
        <w:t xml:space="preserve">Subtotal End-of-Life: 0.348 - 0.5075 = -0.1595 kgCO2e</w:t>
      </w:r>
      <w:r>
        <w:t xml:space="preserve"> </w:t>
      </w:r>
      <w:r>
        <w:t xml:space="preserve">(net removal/avoidance)</w:t>
      </w:r>
    </w:p>
    <w:bookmarkEnd w:id="43"/>
    <w:bookmarkEnd w:id="44"/>
    <w:bookmarkStart w:id="45" w:name="Xbc6e1069d6440170222fdf02023016e7640d7b2"/>
    <w:p>
      <w:pPr>
        <w:pStyle w:val="Heading3"/>
      </w:pPr>
      <w:r>
        <w:t xml:space="preserve">Total Product Carbon Footprint (loxlmdlfqw)</w:t>
      </w:r>
    </w:p>
    <w:p>
      <w:pPr>
        <w:pStyle w:val="FirstParagraph"/>
      </w:pPr>
      <w:r>
        <w:t xml:space="preserve">Summing up emissions from all relevant life cycle stages:</w:t>
      </w:r>
    </w:p>
    <w:p>
      <w:pPr>
        <w:pStyle w:val="BodyText"/>
      </w:pPr>
      <w:r>
        <w:t xml:space="preserve">Total PCF = Raw Materials + Manufacturing (Scope 1+2) + Upstream Transportation + Use Phase + End-of-Life</w:t>
      </w:r>
    </w:p>
    <w:p>
      <w:pPr>
        <w:pStyle w:val="BodyText"/>
      </w:pPr>
      <w:r>
        <w:t xml:space="preserve">Total PCF = 9.69 kgCO2e + 1.10 kgCO2e + 0.3915 kgCO2e + 12.50 kgCO2e + (-0.1595 kgCO2e)</w:t>
      </w:r>
    </w:p>
    <w:p>
      <w:pPr>
        <w:pStyle w:val="BodyText"/>
      </w:pPr>
      <w:r>
        <w:rPr>
          <w:bCs/>
          <w:b/>
        </w:rPr>
        <w:t xml:space="preserve">Total PCF for 1.0 unit of loxlmdlfqw = 23.522 kgCO2e</w:t>
      </w:r>
    </w:p>
    <w:bookmarkEnd w:id="45"/>
    <w:bookmarkStart w:id="46"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Process Emissions (Manufacturing)</w:t>
            </w:r>
          </w:p>
        </w:tc>
        <w:tc>
          <w:tcPr/>
          <w:p>
            <w:pPr>
              <w:pStyle w:val="Compact"/>
              <w:jc w:val="left"/>
            </w:pPr>
            <w:r>
              <w:t xml:space="preserve">0.50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0.60</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9.69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0.39</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-0.16</w:t>
            </w:r>
          </w:p>
        </w:tc>
      </w:tr>
      <w:tr>
        <w:tc>
          <w:tcPr>
            <w:gridSpan w:val="2"/>
          </w:tcPr>
          <w:p>
            <w:pPr>
              <w:pStyle w:val="Compact"/>
              <w:jc w:val="left"/>
            </w:pPr>
            <w:r>
              <w:t xml:space="preserve">Total Product Carbon Footprint</w:t>
            </w:r>
          </w:p>
        </w:tc>
        <w:tc>
          <w:tcPr/>
          <w:p>
            <w:pPr>
              <w:pStyle w:val="Compact"/>
              <w:jc w:val="left"/>
            </w:pPr>
            <w:r>
              <w:t xml:space="preserve">23.52</w:t>
            </w:r>
          </w:p>
        </w:tc>
      </w:tr>
    </w:tbl>
    <w:p>
      <w:r>
        <w:pict>
          <v:rect style="width:0;height:1.5pt" o:hralign="center" o:hrstd="t" o:hr="t"/>
        </w:pict>
      </w:r>
    </w:p>
    <w:bookmarkEnd w:id="46"/>
    <w:bookmarkEnd w:id="47"/>
    <w:bookmarkStart w:id="51" w:name="review-report"/>
    <w:p>
      <w:pPr>
        <w:pStyle w:val="Heading2"/>
      </w:pPr>
      <w:r>
        <w:t xml:space="preserve">5. Review &amp; Report</w:t>
      </w:r>
    </w:p>
    <w:bookmarkStart w:id="48" w:name="carbon-hotspots"/>
    <w:p>
      <w:pPr>
        <w:pStyle w:val="Heading3"/>
      </w:pPr>
      <w:r>
        <w:t xml:space="preserve">Carbon Hotspots</w:t>
      </w:r>
    </w:p>
    <w:p>
      <w:pPr>
        <w:pStyle w:val="FirstParagraph"/>
      </w:pPr>
      <w:r>
        <w:t xml:space="preserve">The analysis reveals the following carbon hotspots for \'loxlmdlfqw\':</w:t>
      </w:r>
    </w:p>
    <w:p>
      <w:pPr>
        <w:numPr>
          <w:ilvl w:val="0"/>
          <w:numId w:val="1016"/>
        </w:numPr>
        <w:pStyle w:val="Compact"/>
      </w:pPr>
      <w:r>
        <w:rPr>
          <w:bCs/>
          <w:b/>
        </w:rPr>
        <w:t xml:space="preserve">Use Phase (53.1%):</w:t>
      </w:r>
      <w:r>
        <w:t xml:space="preserve"> </w:t>
      </w:r>
      <w:r>
        <w:t xml:space="preserve">The most significant hotspot is the energy consumption during the product\'s lifespan, accounting for approximately 12.50 kgCO2e. This highlights the importance of energy efficiency in product design and user behavior.</w:t>
      </w:r>
    </w:p>
    <w:p>
      <w:pPr>
        <w:numPr>
          <w:ilvl w:val="0"/>
          <w:numId w:val="1016"/>
        </w:numPr>
        <w:pStyle w:val="Compact"/>
      </w:pPr>
      <w:r>
        <w:rPr>
          <w:bCs/>
          <w:b/>
        </w:rPr>
        <w:t xml:space="preserve">Raw Materials (41.2%):</w:t>
      </w:r>
      <w:r>
        <w:t xml:space="preserve"> </w:t>
      </w:r>
      <w:r>
        <w:t xml:space="preserve">The extraction and processing of raw materials, especially metals and electronics components, represent the second largest hotspot at 9.69 kgCO2e. Focus on sustainable sourcing, material efficiency, and alternative low-carbon materials is critical here.</w:t>
      </w:r>
    </w:p>
    <w:p>
      <w:pPr>
        <w:numPr>
          <w:ilvl w:val="0"/>
          <w:numId w:val="1016"/>
        </w:numPr>
        <w:pStyle w:val="Compact"/>
      </w:pPr>
      <w:r>
        <w:rPr>
          <w:bCs/>
          <w:b/>
        </w:rPr>
        <w:t xml:space="preserve">Manufacturing (4.7%):</w:t>
      </w:r>
      <w:r>
        <w:t xml:space="preserve"> </w:t>
      </w:r>
      <w:r>
        <w:t xml:space="preserve">While lower than other stages, the manufacturing process contributes 1.10 kgCO2e. Continued investment in renewable energy and process optimization at the production facility can further reduce this impact.</w:t>
      </w:r>
    </w:p>
    <w:p>
      <w:pPr>
        <w:numPr>
          <w:ilvl w:val="0"/>
          <w:numId w:val="1016"/>
        </w:numPr>
        <w:pStyle w:val="Compact"/>
      </w:pPr>
      <w:r>
        <w:rPr>
          <w:bCs/>
          <w:b/>
        </w:rPr>
        <w:t xml:space="preserve">Transportation (1.7%):</w:t>
      </w:r>
      <w:r>
        <w:t xml:space="preserve"> </w:t>
      </w:r>
      <w:r>
        <w:t xml:space="preserve">Upstream transportation is a smaller but still relevant contributor, particularly for long-distance shipping from China to Europe.</w:t>
      </w:r>
    </w:p>
    <w:bookmarkEnd w:id="48"/>
    <w:bookmarkStart w:id="49" w:name="reliability-of-results"/>
    <w:p>
      <w:pPr>
        <w:pStyle w:val="Heading3"/>
      </w:pPr>
      <w:r>
        <w:t xml:space="preserve">Reliability of Results</w:t>
      </w:r>
    </w:p>
    <w:p>
      <w:pPr>
        <w:pStyle w:val="FirstParagraph"/>
      </w:pPr>
      <w:r>
        <w:t xml:space="preserve">The reliability of this PCF analysis is contingent on the quality and availability of input data. Key considerations:</w:t>
      </w:r>
    </w:p>
    <w:p>
      <w:pPr>
        <w:numPr>
          <w:ilvl w:val="0"/>
          <w:numId w:val="1017"/>
        </w:numPr>
        <w:pStyle w:val="Compact"/>
      </w:pPr>
      <w:r>
        <w:rPr>
          <w:bCs/>
          <w:b/>
        </w:rPr>
        <w:t xml:space="preserve">Data Basis:</w:t>
      </w:r>
      <w:r>
        <w:t xml:space="preserve"> </w:t>
      </w:r>
      <w:r>
        <w:t xml:space="preserve">This report utilizes a combination of specific parameters provided by the user (e.g., BOM format, transport modes, energy usage, lifespan) and industry-average emission factors from reputable databases (Ecoinvent, DEFRA).</w:t>
      </w:r>
    </w:p>
    <w:p>
      <w:pPr>
        <w:numPr>
          <w:ilvl w:val="0"/>
          <w:numId w:val="1017"/>
        </w:numPr>
        <w:pStyle w:val="Compact"/>
      </w:pPr>
      <w:r>
        <w:rPr>
          <w:bCs/>
          <w:b/>
        </w:rPr>
        <w:t xml:space="preserve">Illustrative Data:</w:t>
      </w:r>
      <w:r>
        <w:t xml:space="preserve"> </w:t>
      </w:r>
      <w:r>
        <w:t xml:space="preserve">Since some specific values for BOM, transport distances, and energy consumption were provided as placeholders (`tzzvvyxj`, `klgiphttis`, `uvoqjhfxpp`, etc.), illustrative data based on typical industry scenarios has been used for the detailed calculations. Improving data collection with primary, supplier-specific data will enhance accuracy.</w:t>
      </w:r>
    </w:p>
    <w:p>
      <w:pPr>
        <w:numPr>
          <w:ilvl w:val="0"/>
          <w:numId w:val="1017"/>
        </w:numPr>
        <w:pStyle w:val="Compact"/>
      </w:pPr>
      <w:r>
        <w:rPr>
          <w:bCs/>
          <w:b/>
        </w:rPr>
        <w:t xml:space="preserve">GHG Protocol Adherence:</w:t>
      </w:r>
      <w:r>
        <w:t xml:space="preserve"> </w:t>
      </w:r>
      <w:r>
        <w:t xml:space="preserve">Strict adherence to the GHG Protocol ensures methodological consistency and comparability.</w:t>
      </w:r>
    </w:p>
    <w:p>
      <w:pPr>
        <w:numPr>
          <w:ilvl w:val="0"/>
          <w:numId w:val="1017"/>
        </w:numPr>
        <w:pStyle w:val="Compact"/>
      </w:pPr>
      <w:r>
        <w:rPr>
          <w:bCs/>
          <w:b/>
        </w:rPr>
        <w:t xml:space="preserve">2026 Updates:</w:t>
      </w:r>
      <w:r>
        <w:t xml:space="preserve"> </w:t>
      </w:r>
      <w:r>
        <w:t xml:space="preserve">The incorporation of the 2026 LSR Standard and the 95% Scope 3 coverage target ensures the report meets future reporting requirements, promoting completeness and transparency.</w:t>
      </w:r>
    </w:p>
    <w:bookmarkEnd w:id="49"/>
    <w:bookmarkStart w:id="50" w:name="recommendations-for-qkhqqifimo"/>
    <w:p>
      <w:pPr>
        <w:pStyle w:val="Heading3"/>
      </w:pPr>
      <w:r>
        <w:t xml:space="preserve">Recommendations for qkhqqifimo</w:t>
      </w:r>
    </w:p>
    <w:p>
      <w:pPr>
        <w:numPr>
          <w:ilvl w:val="0"/>
          <w:numId w:val="1018"/>
        </w:numPr>
        <w:pStyle w:val="Compact"/>
      </w:pPr>
      <w:r>
        <w:rPr>
          <w:bCs/>
          <w:b/>
        </w:rPr>
        <w:t xml:space="preserve">Energy Efficiency in Use Phase:</w:t>
      </w:r>
      <w:r>
        <w:t xml:space="preserve"> </w:t>
      </w:r>
      <w:r>
        <w:t xml:space="preserve">Prioritize design improvements to reduce energy consumption during the product\'s lifespan. Educate consumers on efficient usage.</w:t>
      </w:r>
    </w:p>
    <w:p>
      <w:pPr>
        <w:numPr>
          <w:ilvl w:val="0"/>
          <w:numId w:val="1018"/>
        </w:numPr>
        <w:pStyle w:val="Compact"/>
      </w:pPr>
      <w:r>
        <w:rPr>
          <w:bCs/>
          <w:b/>
        </w:rPr>
        <w:t xml:space="preserve">Sustainable Material Sourcing:</w:t>
      </w:r>
      <w:r>
        <w:t xml:space="preserve"> </w:t>
      </w:r>
      <w:r>
        <w:t xml:space="preserve">Engage with suppliers to obtain primary, product-specific material data. Explore lower-carbon alternatives, recycled content, and materials with a smaller footprint.</w:t>
      </w:r>
    </w:p>
    <w:p>
      <w:pPr>
        <w:numPr>
          <w:ilvl w:val="0"/>
          <w:numId w:val="1018"/>
        </w:numPr>
        <w:pStyle w:val="Compact"/>
      </w:pPr>
      <w:r>
        <w:rPr>
          <w:bCs/>
          <w:b/>
        </w:rPr>
        <w:t xml:space="preserve">Renewable Energy Integration:</w:t>
      </w:r>
      <w:r>
        <w:t xml:space="preserve"> </w:t>
      </w:r>
      <w:r>
        <w:t xml:space="preserve">Continue to increase renewable energy procurement at manufacturing facilities to reduce Scope 2 emissions.</w:t>
      </w:r>
    </w:p>
    <w:p>
      <w:pPr>
        <w:numPr>
          <w:ilvl w:val="0"/>
          <w:numId w:val="1018"/>
        </w:numPr>
        <w:pStyle w:val="Compact"/>
      </w:pPr>
      <w:r>
        <w:rPr>
          <w:bCs/>
          <w:b/>
        </w:rPr>
        <w:t xml:space="preserve">Logistics Optimization:</w:t>
      </w:r>
      <w:r>
        <w:t xml:space="preserve"> </w:t>
      </w:r>
      <w:r>
        <w:t xml:space="preserve">Optimize transportation routes, consider lower-emission freight options (e.g., rail where feasible for intra-Europe), and improve load factors.</w:t>
      </w:r>
    </w:p>
    <w:p>
      <w:pPr>
        <w:numPr>
          <w:ilvl w:val="0"/>
          <w:numId w:val="1018"/>
        </w:numPr>
        <w:pStyle w:val="Compact"/>
      </w:pPr>
      <w:r>
        <w:rPr>
          <w:bCs/>
          <w:b/>
        </w:rPr>
        <w:t xml:space="preserve">Circular Economy Initiatives:</w:t>
      </w:r>
      <w:r>
        <w:t xml:space="preserve"> </w:t>
      </w:r>
      <w:r>
        <w:t xml:space="preserve">Strengthen take-back programs and explore innovative end-of-life solutions to maximize recycling and reuse, further reducing net emissions.</w:t>
      </w:r>
    </w:p>
    <w:p>
      <w:pPr>
        <w:numPr>
          <w:ilvl w:val="0"/>
          <w:numId w:val="1018"/>
        </w:numPr>
        <w:pStyle w:val="Compact"/>
      </w:pPr>
      <w:r>
        <w:rPr>
          <w:bCs/>
          <w:b/>
        </w:rPr>
        <w:t xml:space="preserve">Data Quality Improvement:</w:t>
      </w:r>
      <w:r>
        <w:t xml:space="preserve"> </w:t>
      </w:r>
      <w:r>
        <w:t xml:space="preserve">Invest in gathering more primary data from the supply chain for higher accuracy in future assessments, particularly for Scope 3 categories.</w:t>
      </w:r>
    </w:p>
    <w:p>
      <w:r>
        <w:pict>
          <v:rect style="width:0;height:1.5pt" o:hralign="center" o:hrstd="t" o:hr="t"/>
        </w:pict>
      </w:r>
    </w:p>
    <w:bookmarkEnd w:id="50"/>
    <w:bookmarkEnd w:id="51"/>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loxlmdlfqw - qkhqqifimo</dc:title>
  <dc:creator/>
  <dc:description>High-detail Product Carbon Footprint (PCF) analysis for product loxlmdlfqw by qkhqqifimo, adhering to GHG Protocol and 2026 updates including LSR Standard and 95% Scope 3 coverage.</dc:description>
  <dc:language>en</dc:language>
  <cp:keywords/>
  <dcterms:created xsi:type="dcterms:W3CDTF">2026-05-30T23:01:58Z</dcterms:created>
  <dcterms:modified xsi:type="dcterms:W3CDTF">2026-05-30T23:01:58Z</dcterms:modified>
</cp:coreProperties>
</file>

<file path=docProps/custom.xml><?xml version="1.0" encoding="utf-8"?>
<Properties xmlns="http://schemas.openxmlformats.org/officeDocument/2006/custom-properties" xmlns:vt="http://schemas.openxmlformats.org/officeDocument/2006/docPropsVTypes"/>
</file>