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lomprltkwl</w:t>
      </w:r>
      <w:r>
        <w:t xml:space="preserve"> </w:t>
      </w:r>
      <w:r>
        <w:t xml:space="preserve">-</w:t>
      </w:r>
      <w:r>
        <w:t xml:space="preserve"> </w:t>
      </w:r>
      <w:r>
        <w:t xml:space="preserve">spnzyhupgs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lomprltkwl</w:t>
      </w:r>
    </w:p>
    <w:p>
      <w:pPr>
        <w:pStyle w:val="BodyText"/>
      </w:pPr>
      <w:r>
        <w:rPr>
          <w:bCs/>
          <w:b/>
        </w:rPr>
        <w:t xml:space="preserve">Company:</w:t>
      </w:r>
      <w:r>
        <w:t xml:space="preserve"> </w:t>
      </w:r>
      <w:r>
        <w:t xml:space="preserve">spnzyhupgs</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qjkhdflgom</w:t>
      </w:r>
    </w:p>
    <w:p>
      <w:pPr>
        <w:pStyle w:val="BodyText"/>
      </w:pPr>
      <w:r>
        <w:t xml:space="preserve">This report is generated based on available data and industry standards, providing an estimate of the product\'s carbon footprint.</w:t>
      </w:r>
    </w:p>
    <w:bookmarkEnd w:id="20"/>
    <w:bookmarkStart w:id="48" w:name="Xa87d010c1fd868336511b306fbd202996615f12"/>
    <w:p>
      <w:pPr>
        <w:pStyle w:val="Heading1"/>
      </w:pPr>
      <w:r>
        <w:t xml:space="preserve">Product Carbon Footprint Analysis Report</w:t>
      </w:r>
    </w:p>
    <w:p>
      <w:pPr>
        <w:pStyle w:val="FirstParagraph"/>
      </w:pPr>
      <w:r>
        <w:t xml:space="preserve">Generated Date: 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`lomprltkwl`, manufactured by `spnzyhupgs`. The analysis was performed by `qjkhdflgom`, Senior Sustainability Consultant, adhering strictly to the Greenhouse Gas (GHG) Protocol standards, including the 2026 Land Sector and Removals (LSR) update. The assessment covers a cradle-to-grave perspective, with a detailed focus on the \'factory gate\' for primary data collection, extending to the use phase and end-of-life scenarios. The total Product Carbon Footprint for one functional unit of `lomprltkwl` is calculated as XX.XX kg CO2e, with upstream emissions (Scope 3) representing the most significant portion. Key emission hotspots identified include material acquisition and the product\'s use phase.</w:t>
      </w:r>
    </w:p>
    <w:p>
      <w:r>
        <w:pict>
          <v:rect style="width:0;height:1.5pt" o:hralign="center" o:hrstd="t" o:hr="t"/>
        </w:pict>
      </w:r>
    </w:p>
    <w:bookmarkEnd w:id="21"/>
    <w:bookmarkStart w:id="22" w:name="X43b560502e73c805ad7bda4d61434419556c7ca"/>
    <w:p>
      <w:pPr>
        <w:pStyle w:val="Heading2"/>
      </w:pPr>
      <w:r>
        <w:t xml:space="preserve">1. Introduction to Product Carbon Footprint (PCF)</w:t>
      </w:r>
    </w:p>
    <w:p>
      <w:pPr>
        <w:pStyle w:val="FirstParagraph"/>
      </w:pPr>
      <w:r>
        <w:t xml:space="preserve">A Product Carbon Footprint (PCF) quantifies the total greenhouse gas (GHG) emissions generated across the entire lifecycle of a specific product. This includes emissions from raw material extraction, manufacturing, transportation, use, and end-of-life management. The objective of this PCF analysis is to identify emission hotspots, support `spnzyhupgs` in setting reduction targets, and enhance transparency in sustainability reporting for `lomprltkwl`.</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PCF analysis for `lomprltkwl` follows the five-step methodology prescribed by the GHG Protocol Product Standard, ensuring a comprehensive and robust assessment.</w:t>
      </w:r>
    </w:p>
    <w:bookmarkStart w:id="23" w:name="step-1-define-scope"/>
    <w:p>
      <w:pPr>
        <w:pStyle w:val="Heading3"/>
      </w:pPr>
      <w:r>
        <w:t xml:space="preserve">2.1. Step 1: Define Scope</w:t>
      </w:r>
    </w:p>
    <w:p>
      <w:pPr>
        <w:pStyle w:val="FirstParagraph"/>
      </w:pPr>
      <w:r>
        <w:t xml:space="preserve">This initial step establishes the boundaries and parameters for the PCF calculation.</w:t>
      </w:r>
    </w:p>
    <w:p>
      <w:pPr>
        <w:numPr>
          <w:ilvl w:val="0"/>
          <w:numId w:val="1001"/>
        </w:numPr>
        <w:pStyle w:val="Compact"/>
      </w:pPr>
      <w:r>
        <w:rPr>
          <w:bCs/>
          <w:b/>
        </w:rPr>
        <w:t xml:space="preserve">Functional Unit:</w:t>
      </w:r>
      <w:r>
        <w:t xml:space="preserve"> </w:t>
      </w:r>
      <w:r>
        <w:t xml:space="preserve">The functional unit for this analysis is 1.0 unit of `lomprltkwl`. This provides a reference to which all inputs and outputs are normalized, ensuring comparability.</w:t>
      </w:r>
    </w:p>
    <w:p>
      <w:pPr>
        <w:numPr>
          <w:ilvl w:val="0"/>
          <w:numId w:val="1001"/>
        </w:numPr>
        <w:pStyle w:val="Compact"/>
      </w:pPr>
      <w:r>
        <w:rPr>
          <w:bCs/>
          <w:b/>
        </w:rPr>
        <w:t xml:space="preserve">System Boundary:</w:t>
      </w:r>
      <w:r>
        <w:t xml:space="preserve"> </w:t>
      </w:r>
      <w:r>
        <w:t xml:space="preserve">The system boundary adopted is \'cradle-to-grave\'. While primary data collection for production focuses on \'factory_gate\', the analysis extends to include upstream processes (raw material extraction, pre-processing), manufacturing, transportation to market, the product\'s use phase, and its end-of-life treatment.</w:t>
      </w:r>
    </w:p>
    <w:p>
      <w:pPr>
        <w:numPr>
          <w:ilvl w:val="0"/>
          <w:numId w:val="1001"/>
        </w:numPr>
        <w:pStyle w:val="Compact"/>
      </w:pPr>
      <w:r>
        <w:rPr>
          <w:bCs/>
          <w:b/>
        </w:rPr>
        <w:t xml:space="preserve">Geographic Scope:</w:t>
      </w:r>
      <w:r>
        <w:t xml:space="preserve"> </w:t>
      </w:r>
      <w:r>
        <w:t xml:space="preserve">The final production country is China, with a supply chain focus on Europe for inbound logistics and distribution.</w:t>
      </w:r>
    </w:p>
    <w:p>
      <w:pPr>
        <w:numPr>
          <w:ilvl w:val="0"/>
          <w:numId w:val="1001"/>
        </w:numPr>
        <w:pStyle w:val="Compact"/>
      </w:pPr>
      <w:r>
        <w:rPr>
          <w:bCs/>
          <w:b/>
        </w:rPr>
        <w:t xml:space="preserve">Accounting Standard:</w:t>
      </w:r>
      <w:r>
        <w:t xml:space="preserve"> </w:t>
      </w:r>
      <w:r>
        <w:t xml:space="preserve">This PCF analysis strictly adheres to the **GHG Protocol** standards. This includes categorization of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from shared processes and infrastructure are allocated based on mass where appropriate, ensuring a fair distribution of environmental burden to the functional unit.</w:t>
      </w:r>
    </w:p>
    <w:bookmarkEnd w:id="23"/>
    <w:bookmarkStart w:id="24" w:name="Xef2cad8b6715bfd9664e6ec6d96ac44c4a46fb4"/>
    <w:p>
      <w:pPr>
        <w:pStyle w:val="Heading3"/>
      </w:pPr>
      <w:r>
        <w:t xml:space="preserve">2.2. Step 2: Map Lifecycle (LCI Inventory Stages)</w:t>
      </w:r>
    </w:p>
    <w:p>
      <w:pPr>
        <w:pStyle w:val="FirstParagraph"/>
      </w:pPr>
      <w:r>
        <w:t xml:space="preserve">The lifecycle of `lomprltkwl` is mapped into distinct stages to comprehensively capture all relevant activities and associated emissions:</w:t>
      </w:r>
    </w:p>
    <w:p>
      <w:pPr>
        <w:numPr>
          <w:ilvl w:val="0"/>
          <w:numId w:val="1002"/>
        </w:numPr>
        <w:pStyle w:val="Compact"/>
      </w:pPr>
      <w:r>
        <w:rPr>
          <w:bCs/>
          <w:b/>
        </w:rPr>
        <w:t xml:space="preserve">Raw Material Acquisition &amp; Pre-processing:</w:t>
      </w:r>
      <w:r>
        <w:t xml:space="preserve"> </w:t>
      </w:r>
      <w:r>
        <w:t xml:space="preserve">This upstream stage includes the extraction, processing, and manufacturing of all components listed in the Detailed Bill of Materials (BOM) (`vzwrefks`). These emissions fall under **Scope 3, Category 1: Purchased Goods and Services**.</w:t>
      </w:r>
    </w:p>
    <w:p>
      <w:pPr>
        <w:numPr>
          <w:ilvl w:val="0"/>
          <w:numId w:val="1002"/>
        </w:numPr>
        <w:pStyle w:val="Compact"/>
      </w:pPr>
      <w:r>
        <w:rPr>
          <w:bCs/>
          <w:b/>
        </w:rPr>
        <w:t xml:space="preserve">Manufacturing:</w:t>
      </w:r>
      <w:r>
        <w:t xml:space="preserve"> </w:t>
      </w:r>
      <w:r>
        <w:t xml:space="preserve">This stage covers all processes occurring at the `spnzyhupgs` production facility in China, including energy consumption and any direct emissions.</w:t>
      </w:r>
    </w:p>
    <w:p>
      <w:pPr>
        <w:numPr>
          <w:ilvl w:val="1"/>
          <w:numId w:val="1003"/>
        </w:numPr>
        <w:pStyle w:val="Compact"/>
      </w:pPr>
      <w:r>
        <w:rPr>
          <w:bCs/>
          <w:b/>
        </w:rPr>
        <w:t xml:space="preserve">Scope 1:</w:t>
      </w:r>
      <w:r>
        <w:t xml:space="preserve"> </w:t>
      </w:r>
      <w:r>
        <w:t xml:space="preserve">Direct emissions from owned or controlled sources, such as on-site fuel combustion or process emissions.</w:t>
      </w:r>
    </w:p>
    <w:p>
      <w:pPr>
        <w:numPr>
          <w:ilvl w:val="1"/>
          <w:numId w:val="1003"/>
        </w:numPr>
        <w:pStyle w:val="Compact"/>
      </w:pPr>
      <w:r>
        <w:rPr>
          <w:bCs/>
          <w:b/>
        </w:rPr>
        <w:t xml:space="preserve">Scope 2:</w:t>
      </w:r>
      <w:r>
        <w:t xml:space="preserve"> </w:t>
      </w:r>
      <w:r>
        <w:t xml:space="preserve">Indirect emissions from purchased electricity consumed during manufacturing.</w:t>
      </w:r>
    </w:p>
    <w:p>
      <w:pPr>
        <w:numPr>
          <w:ilvl w:val="0"/>
          <w:numId w:val="1002"/>
        </w:numPr>
        <w:pStyle w:val="Compact"/>
      </w:pPr>
      <w:r>
        <w:rPr>
          <w:bCs/>
          <w:b/>
        </w:rPr>
        <w:t xml:space="preserve">Transportation &amp; Distribution:</w:t>
      </w:r>
    </w:p>
    <w:p>
      <w:pPr>
        <w:numPr>
          <w:ilvl w:val="1"/>
          <w:numId w:val="1004"/>
        </w:numPr>
        <w:pStyle w:val="Compact"/>
      </w:pPr>
      <w:r>
        <w:rPr>
          <w:bCs/>
          <w:b/>
        </w:rPr>
        <w:t xml:space="preserve">Upstream Transportation:</w:t>
      </w:r>
      <w:r>
        <w:t xml:space="preserve"> </w:t>
      </w:r>
      <w:r>
        <w:t xml:space="preserve">Transport of raw materials and components to the manufacturing facility in China. These are classified under **Scope 3, Category 4: Upstream Transportation and Distribution**.</w:t>
      </w:r>
    </w:p>
    <w:p>
      <w:pPr>
        <w:numPr>
          <w:ilvl w:val="1"/>
          <w:numId w:val="1004"/>
        </w:numPr>
        <w:pStyle w:val="Compact"/>
      </w:pPr>
      <w:r>
        <w:rPr>
          <w:bCs/>
          <w:b/>
        </w:rPr>
        <w:t xml:space="preserve">Downstream Transportation:</w:t>
      </w:r>
      <w:r>
        <w:t xml:space="preserve"> </w:t>
      </w:r>
      <w:r>
        <w:t xml:space="preserve">Transport of the finished product from the factory to the end-consumer (Last-Mile Delivery). These fall under **Scope 3, Category 9: Downstream Transportation and Distribution**.</w:t>
      </w:r>
    </w:p>
    <w:p>
      <w:pPr>
        <w:numPr>
          <w:ilvl w:val="0"/>
          <w:numId w:val="1002"/>
        </w:numPr>
        <w:pStyle w:val="Compact"/>
      </w:pPr>
      <w:r>
        <w:rPr>
          <w:bCs/>
          <w:b/>
        </w:rPr>
        <w:t xml:space="preserve">Use Phase:</w:t>
      </w:r>
      <w:r>
        <w:t xml:space="preserve"> </w:t>
      </w:r>
      <w:r>
        <w:t xml:space="preserve">Emissions generated during the typical usage of `lomprltkwl` over its expected lifespan. This primarily includes energy consumption and is accounted for under **Scope 3, Category 11: Use of Sold Products**.</w:t>
      </w:r>
    </w:p>
    <w:p>
      <w:pPr>
        <w:numPr>
          <w:ilvl w:val="0"/>
          <w:numId w:val="1002"/>
        </w:numPr>
        <w:pStyle w:val="Compact"/>
      </w:pPr>
      <w:r>
        <w:rPr>
          <w:bCs/>
          <w:b/>
        </w:rPr>
        <w:t xml:space="preserve">End-of-Life (EoL) Treatment:</w:t>
      </w:r>
      <w:r>
        <w:t xml:space="preserve"> </w:t>
      </w:r>
      <w:r>
        <w:t xml:space="preserve">Emissions associated with the disposal or recycling of `lomprltkwl` at the end of its functional life. This is categorized as **Scope 3, Category 12: End-of-Life Treatment of Sold Products**.</w:t>
      </w:r>
    </w:p>
    <w:bookmarkEnd w:id="24"/>
    <w:bookmarkStart w:id="30" w:name="X46460218b75090116924b5e02e281dcf8597f63"/>
    <w:p>
      <w:pPr>
        <w:pStyle w:val="Heading3"/>
      </w:pPr>
      <w:r>
        <w:t xml:space="preserve">2.3. Step 3: Collect Data (Primary/Secondary Data Points)</w:t>
      </w:r>
    </w:p>
    <w:p>
      <w:pPr>
        <w:pStyle w:val="FirstParagraph"/>
      </w:pPr>
      <w:r>
        <w:t xml:space="preserve">Data collection involves gathering both primary data (specific to `spnzyhupgs` operations) and secondary data (industry averages, emission factors from databases like Ecoinvent/DEFRA).</w:t>
      </w:r>
    </w:p>
    <w:bookmarkStart w:id="25" w:name="Xc38e7d8a87c4ee65d45b365fa1c2ab265cead50"/>
    <w:p>
      <w:pPr>
        <w:pStyle w:val="Heading4"/>
      </w:pPr>
      <w:r>
        <w:t xml:space="preserve">3.3.1. Detailed Bill of Materials (BOM) for lomprltkwl (vzwrefks)</w:t>
      </w:r>
    </w:p>
    <w:p>
      <w:pPr>
        <w:pStyle w:val="FirstParagraph"/>
      </w:pPr>
      <w:r>
        <w:t xml:space="preserve">The following detailed Bill of Materials (BOM) has been used for high-accuracy material impact calculation. The material emissions are a crucial part of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Electronic PCB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pc</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0.05</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3.60</w:t>
            </w:r>
          </w:p>
        </w:tc>
      </w:tr>
    </w:tbl>
    <w:bookmarkEnd w:id="25"/>
    <w:bookmarkStart w:id="26" w:name="energy-inputs-production-phase"/>
    <w:p>
      <w:pPr>
        <w:pStyle w:val="Heading4"/>
      </w:pPr>
      <w:r>
        <w:t xml:space="preserve">3.3.2. Energy Inputs (Production Phase)</w:t>
      </w:r>
    </w:p>
    <w:p>
      <w:pPr>
        <w:numPr>
          <w:ilvl w:val="0"/>
          <w:numId w:val="1005"/>
        </w:numPr>
        <w:pStyle w:val="Compact"/>
      </w:pPr>
      <w:r>
        <w:rPr>
          <w:bCs/>
          <w:b/>
        </w:rPr>
        <w:t xml:space="preserve">Energy Intensity (kWh/unit):</w:t>
      </w:r>
      <w:r>
        <w:t xml:space="preserve"> </w:t>
      </w:r>
      <w:r>
        <w:t xml:space="preserve">`yjfkwojnif` (e.g., 5 kWh/unit).</w:t>
      </w:r>
    </w:p>
    <w:p>
      <w:pPr>
        <w:numPr>
          <w:ilvl w:val="0"/>
          <w:numId w:val="1005"/>
        </w:numPr>
        <w:pStyle w:val="Compact"/>
      </w:pPr>
      <w:r>
        <w:rPr>
          <w:bCs/>
          <w:b/>
        </w:rPr>
        <w:t xml:space="preserve">Renewable Energy Usage:</w:t>
      </w:r>
      <w:r>
        <w:t xml:space="preserve"> </w:t>
      </w:r>
      <w:r>
        <w:t xml:space="preserve">`ivzhwkhqpz` (e.g., 75%) of electricity purchased by `spnzyhupgs` comes from renewable sources. This significantly reduces the Scope 2 emissions.</w:t>
      </w:r>
    </w:p>
    <w:p>
      <w:pPr>
        <w:numPr>
          <w:ilvl w:val="0"/>
          <w:numId w:val="1005"/>
        </w:numPr>
        <w:pStyle w:val="Compact"/>
      </w:pPr>
      <w:r>
        <w:rPr>
          <w:bCs/>
          <w:b/>
        </w:rPr>
        <w:t xml:space="preserve">Default Electricity Emission Factor (China Grid Mix):</w:t>
      </w:r>
      <w:r>
        <w:t xml:space="preserve"> </w:t>
      </w:r>
      <w:r>
        <w:t xml:space="preserve">For the non-renewable portion of electricity, a regional grid emission factor for China is applied. A widely cited average for China\'s electricity grid is approximately 0.556 kg CO2/kWh or 0.6205 kgCO2e/kWh (national average as of 2025). We will use 0.556 kg CO2e/kWh for calculation.</w:t>
      </w:r>
    </w:p>
    <w:p>
      <w:pPr>
        <w:numPr>
          <w:ilvl w:val="0"/>
          <w:numId w:val="1005"/>
        </w:numPr>
        <w:pStyle w:val="Compact"/>
      </w:pPr>
      <w:r>
        <w:rPr>
          <w:bCs/>
          <w:b/>
        </w:rPr>
        <w:t xml:space="preserve">Effective Grid Emission Factor:</w:t>
      </w:r>
      <w:r>
        <w:t xml:space="preserve"> </w:t>
      </w:r>
      <w:r>
        <w:t xml:space="preserve">0.556 kg CO2e/kWh * (1 - `ivzhwkhqpz`%) = 0.556 * (1 - 0.75) = 0.139 kg CO2e/kWh.</w:t>
      </w:r>
    </w:p>
    <w:bookmarkEnd w:id="26"/>
    <w:bookmarkStart w:id="27" w:name="logistics-data-transport"/>
    <w:p>
      <w:pPr>
        <w:pStyle w:val="Heading4"/>
      </w:pPr>
      <w:r>
        <w:t xml:space="preserve">3.3.3. Logistics Data (Transport)</w:t>
      </w:r>
    </w:p>
    <w:p>
      <w:pPr>
        <w:numPr>
          <w:ilvl w:val="0"/>
          <w:numId w:val="1006"/>
        </w:numPr>
        <w:pStyle w:val="Compact"/>
      </w:pPr>
      <w:r>
        <w:rPr>
          <w:bCs/>
          <w:b/>
        </w:rPr>
        <w:t xml:space="preserve">Main Inbound Transport Mode:</w:t>
      </w:r>
      <w:r>
        <w:t xml:space="preserve"> </w:t>
      </w:r>
      <w:r>
        <w:t xml:space="preserve">`Select Mode` (e.g., Ocean Freight).</w:t>
      </w:r>
    </w:p>
    <w:p>
      <w:pPr>
        <w:numPr>
          <w:ilvl w:val="0"/>
          <w:numId w:val="1006"/>
        </w:numPr>
        <w:pStyle w:val="Compact"/>
      </w:pPr>
      <w:r>
        <w:rPr>
          <w:bCs/>
          <w:b/>
        </w:rPr>
        <w:t xml:space="preserve">Main Inbound Transport Distance:</w:t>
      </w:r>
      <w:r>
        <w:t xml:space="preserve"> </w:t>
      </w:r>
      <w:r>
        <w:t xml:space="preserve">`mqdxkkskor` (e.g., 10,000 km).</w:t>
      </w:r>
    </w:p>
    <w:p>
      <w:pPr>
        <w:numPr>
          <w:ilvl w:val="0"/>
          <w:numId w:val="1006"/>
        </w:numPr>
        <w:pStyle w:val="Compact"/>
      </w:pPr>
      <w:r>
        <w:rPr>
          <w:bCs/>
          <w:b/>
        </w:rPr>
        <w:t xml:space="preserve">Last-Mile Delivery Channel:</w:t>
      </w:r>
      <w:r>
        <w:t xml:space="preserve"> </w:t>
      </w:r>
      <w:r>
        <w:t xml:space="preserve">`Delivery Type` (e.g., Road Freight, Direct to Consumer).</w:t>
      </w:r>
    </w:p>
    <w:p>
      <w:pPr>
        <w:numPr>
          <w:ilvl w:val="0"/>
          <w:numId w:val="1006"/>
        </w:numPr>
        <w:pStyle w:val="Compact"/>
      </w:pPr>
      <w:r>
        <w:rPr>
          <w:bCs/>
          <w:b/>
        </w:rPr>
        <w:t xml:space="preserve">Last-Mile Delivery Distance:</w:t>
      </w:r>
      <w:r>
        <w:t xml:space="preserve"> </w:t>
      </w:r>
      <w:r>
        <w:t xml:space="preserve">(e.g., 500 km - assumed average for European distribution).</w:t>
      </w:r>
    </w:p>
    <w:p>
      <w:pPr>
        <w:numPr>
          <w:ilvl w:val="0"/>
          <w:numId w:val="1006"/>
        </w:numPr>
        <w:pStyle w:val="Compact"/>
      </w:pPr>
      <w:r>
        <w:rPr>
          <w:bCs/>
          <w:b/>
        </w:rPr>
        <w:t xml:space="preserve">Product Weight for Transport:</w:t>
      </w:r>
      <w:r>
        <w:t xml:space="preserve"> </w:t>
      </w:r>
      <w:r>
        <w:t xml:space="preserve">Total material weight (excluding packaging) from BOM is approx. 0.35 kg. Adding packaging (0.1 kg), total unit weight is 0.45 kg = 0.00045 tonnes.</w:t>
      </w:r>
    </w:p>
    <w:p>
      <w:pPr>
        <w:numPr>
          <w:ilvl w:val="0"/>
          <w:numId w:val="1006"/>
        </w:numPr>
        <w:pStyle w:val="Compact"/>
      </w:pPr>
      <w:r>
        <w:rPr>
          <w:bCs/>
          <w:b/>
        </w:rPr>
        <w:t xml:space="preserve">Emission Factors (Transport):</w:t>
      </w:r>
    </w:p>
    <w:p>
      <w:pPr>
        <w:numPr>
          <w:ilvl w:val="1"/>
          <w:numId w:val="1007"/>
        </w:numPr>
        <w:pStyle w:val="Compact"/>
      </w:pPr>
      <w:r>
        <w:t xml:space="preserve">Ocean Freight (container ship): 0.01 kg CO2e/tonne-km (example, highly efficient large vessel)</w:t>
      </w:r>
    </w:p>
    <w:p>
      <w:pPr>
        <w:numPr>
          <w:ilvl w:val="1"/>
          <w:numId w:val="1007"/>
        </w:numPr>
        <w:pStyle w:val="Compact"/>
      </w:pPr>
      <w:r>
        <w:t xml:space="preserve">Road Freight (heavy-duty truck): 0.1 kg CO2e/tonne-km (example for long-haul in Europe)</w:t>
      </w:r>
    </w:p>
    <w:bookmarkEnd w:id="27"/>
    <w:bookmarkStart w:id="28" w:name="use-phase-data"/>
    <w:p>
      <w:pPr>
        <w:pStyle w:val="Heading4"/>
      </w:pPr>
      <w:r>
        <w:t xml:space="preserve">3.3.4. Use Phase Data</w:t>
      </w:r>
    </w:p>
    <w:p>
      <w:pPr>
        <w:numPr>
          <w:ilvl w:val="0"/>
          <w:numId w:val="1008"/>
        </w:numPr>
        <w:pStyle w:val="Compact"/>
      </w:pPr>
      <w:r>
        <w:rPr>
          <w:bCs/>
          <w:b/>
        </w:rPr>
        <w:t xml:space="preserve">Product Lifespan:</w:t>
      </w:r>
      <w:r>
        <w:t xml:space="preserve"> </w:t>
      </w:r>
      <w:r>
        <w:t xml:space="preserve">`puqoslwtqx` (e.g., 5 years).</w:t>
      </w:r>
    </w:p>
    <w:p>
      <w:pPr>
        <w:numPr>
          <w:ilvl w:val="0"/>
          <w:numId w:val="1008"/>
        </w:numPr>
        <w:pStyle w:val="Compact"/>
      </w:pPr>
      <w:r>
        <w:rPr>
          <w:bCs/>
          <w:b/>
        </w:rPr>
        <w:t xml:space="preserve">Energy Consumption in Use:</w:t>
      </w:r>
      <w:r>
        <w:t xml:space="preserve"> </w:t>
      </w:r>
      <w:r>
        <w:t xml:space="preserve">`nytrvsfggx` (e.g., 10 kWh/year).</w:t>
      </w:r>
    </w:p>
    <w:p>
      <w:pPr>
        <w:numPr>
          <w:ilvl w:val="0"/>
          <w:numId w:val="1008"/>
        </w:numPr>
        <w:pStyle w:val="Compact"/>
      </w:pPr>
      <w:r>
        <w:rPr>
          <w:bCs/>
          <w:b/>
        </w:rPr>
        <w:t xml:space="preserve">Electricity Emission Factor (User Location):</w:t>
      </w:r>
      <w:r>
        <w:t xml:space="preserve"> </w:t>
      </w:r>
      <w:r>
        <w:t xml:space="preserve">Assuming an average European grid mix for the use phase, e.g., 0.25 kg CO2e/kWh (illustrative for a typical European grid mix, actual factor varies significantly by country).</w:t>
      </w:r>
    </w:p>
    <w:bookmarkEnd w:id="28"/>
    <w:bookmarkStart w:id="29" w:name="end-of-life-eol-scenarios"/>
    <w:p>
      <w:pPr>
        <w:pStyle w:val="Heading4"/>
      </w:pPr>
      <w:r>
        <w:t xml:space="preserve">3.3.5. End-of-Life (EoL) Scenarios</w:t>
      </w:r>
    </w:p>
    <w:p>
      <w:pPr>
        <w:numPr>
          <w:ilvl w:val="0"/>
          <w:numId w:val="1009"/>
        </w:numPr>
        <w:pStyle w:val="Compact"/>
      </w:pPr>
      <w:r>
        <w:rPr>
          <w:bCs/>
          <w:b/>
        </w:rPr>
        <w:t xml:space="preserve">Recyclability Percentage:</w:t>
      </w:r>
      <w:r>
        <w:t xml:space="preserve"> </w:t>
      </w:r>
      <w:r>
        <w:t xml:space="preserve">`lrqgtzrmkm` (e.g., 80%). This refers to the percentage of the product\'s mass that is technically recyclable.</w:t>
      </w:r>
    </w:p>
    <w:p>
      <w:pPr>
        <w:numPr>
          <w:ilvl w:val="0"/>
          <w:numId w:val="1009"/>
        </w:numPr>
        <w:pStyle w:val="Compact"/>
      </w:pPr>
      <w:r>
        <w:rPr>
          <w:bCs/>
          <w:b/>
        </w:rPr>
        <w:t xml:space="preserve">Circular/Take-back Programs:</w:t>
      </w:r>
      <w:r>
        <w:t xml:space="preserve"> </w:t>
      </w:r>
      <w:r>
        <w:t xml:space="preserve">`lmkrnhpjld` (e.g., Yes, product take-back program active). This indicates active efforts by `spnzyhupgs` to recover products for recycling or refurbishment.</w:t>
      </w:r>
    </w:p>
    <w:p>
      <w:pPr>
        <w:numPr>
          <w:ilvl w:val="0"/>
          <w:numId w:val="1009"/>
        </w:numPr>
        <w:pStyle w:val="Compact"/>
      </w:pPr>
      <w:r>
        <w:rPr>
          <w:bCs/>
          <w:b/>
        </w:rPr>
        <w:t xml:space="preserve">Product Total Mass (for EoL):</w:t>
      </w:r>
      <w:r>
        <w:t xml:space="preserve"> </w:t>
      </w:r>
      <w:r>
        <w:t xml:space="preserve">Approx. 0.45 kg (product + packaging).</w:t>
      </w:r>
    </w:p>
    <w:p>
      <w:pPr>
        <w:numPr>
          <w:ilvl w:val="0"/>
          <w:numId w:val="1009"/>
        </w:numPr>
        <w:pStyle w:val="Compact"/>
      </w:pPr>
      <w:r>
        <w:rPr>
          <w:bCs/>
          <w:b/>
        </w:rPr>
        <w:t xml:space="preserve">End-of-Life Emission Factors (Illustrative):</w:t>
      </w:r>
    </w:p>
    <w:p>
      <w:pPr>
        <w:numPr>
          <w:ilvl w:val="1"/>
          <w:numId w:val="1010"/>
        </w:numPr>
        <w:pStyle w:val="Compact"/>
      </w:pPr>
      <w:r>
        <w:t xml:space="preserve">Recycling: -0.05 kg CO2e/kg (credit for avoiding virgin material production, e.g., for plastics/metals)</w:t>
      </w:r>
    </w:p>
    <w:p>
      <w:pPr>
        <w:numPr>
          <w:ilvl w:val="1"/>
          <w:numId w:val="1010"/>
        </w:numPr>
        <w:pStyle w:val="Compact"/>
      </w:pPr>
      <w:r>
        <w:t xml:space="preserve">Landfill: 0.50 kg CO2e/kg (for non-recycled materials)</w:t>
      </w:r>
    </w:p>
    <w:p>
      <w:r>
        <w:pict>
          <v:rect style="width:0;height:1.5pt" o:hralign="center" o:hrstd="t" o:hr="t"/>
        </w:pict>
      </w:r>
    </w:p>
    <w:bookmarkEnd w:id="29"/>
    <w:bookmarkEnd w:id="30"/>
    <w:bookmarkEnd w:id="31"/>
    <w:bookmarkStart w:id="43" w:name="X84905863ad58caa81b83ef66a0ea955e601672a"/>
    <w:p>
      <w:pPr>
        <w:pStyle w:val="Heading2"/>
      </w:pPr>
      <w:r>
        <w:t xml:space="preserve">4. Emission Calculations (Activity * Emission Factor = CO2e)</w:t>
      </w:r>
    </w:p>
    <w:p>
      <w:pPr>
        <w:pStyle w:val="FirstParagraph"/>
      </w:pPr>
      <w:r>
        <w:t xml:space="preserve">Emissions are calculated for each stage of the product lifecycle and categorized according to the GHG Protocol Scopes.</w:t>
      </w:r>
    </w:p>
    <w:bookmarkStart w:id="32" w:name="scope-1-emissions-direct-emissions"/>
    <w:p>
      <w:pPr>
        <w:pStyle w:val="Heading3"/>
      </w:pPr>
      <w:r>
        <w:t xml:space="preserve">4.1. Scope 1 Emissions (Direct Emissions)</w:t>
      </w:r>
    </w:p>
    <w:p>
      <w:pPr>
        <w:pStyle w:val="FirstParagraph"/>
      </w:pPr>
      <w:r>
        <w:t xml:space="preserve">Given the \'factory_gate\' system boundary for direct operations, Scope 1 emissions for `spnzyhupgs` related to `lomprltkwl` production are assumed to be minimal, potentially covering minor on-site fuel consumption not captured by electricity or fugitive emissions. For this product-level analysis, significant Scope 1 emissions are not directly attributed without more specific operational data. We will assume negligible direct process emissions for the product unit, as the focus is on indirect impacts of purchased materials and energy.</w:t>
      </w:r>
    </w:p>
    <w:p>
      <w:pPr>
        <w:numPr>
          <w:ilvl w:val="0"/>
          <w:numId w:val="1011"/>
        </w:numPr>
        <w:pStyle w:val="Compact"/>
      </w:pPr>
      <w:r>
        <w:rPr>
          <w:bCs/>
          <w:b/>
        </w:rPr>
        <w:t xml:space="preserve">Estimated Scope 1 Emissions:</w:t>
      </w:r>
      <w:r>
        <w:t xml:space="preserve"> </w:t>
      </w:r>
      <w:r>
        <w:t xml:space="preserve">0.00 kg CO2e/unit</w:t>
      </w:r>
    </w:p>
    <w:bookmarkEnd w:id="32"/>
    <w:bookmarkStart w:id="33" w:name="Xdcb69c89a2d5b7d56bbdc01f79a116e1def7079"/>
    <w:p>
      <w:pPr>
        <w:pStyle w:val="Heading3"/>
      </w:pPr>
      <w:r>
        <w:t xml:space="preserve">4.2. Scope 2 Emissions (Purchased Electricity for Production)</w:t>
      </w:r>
    </w:p>
    <w:p>
      <w:pPr>
        <w:pStyle w:val="FirstParagraph"/>
      </w:pPr>
      <w:r>
        <w:t xml:space="preserve">These are indirect emissions from the generation of purchased electricity for the manufacturing process in China.</w:t>
      </w:r>
    </w:p>
    <w:p>
      <w:pPr>
        <w:numPr>
          <w:ilvl w:val="0"/>
          <w:numId w:val="1012"/>
        </w:numPr>
        <w:pStyle w:val="Compact"/>
      </w:pPr>
      <w:r>
        <w:t xml:space="preserve">Energy Intensity: 5 kWh/unit (`yjfkwojnif`)</w:t>
      </w:r>
    </w:p>
    <w:p>
      <w:pPr>
        <w:numPr>
          <w:ilvl w:val="0"/>
          <w:numId w:val="1012"/>
        </w:numPr>
        <w:pStyle w:val="Compact"/>
      </w:pPr>
      <w:r>
        <w:t xml:space="preserve">Renewable Energy Usage: 75% (`ivzhwkhqpz`)</w:t>
      </w:r>
    </w:p>
    <w:p>
      <w:pPr>
        <w:numPr>
          <w:ilvl w:val="0"/>
          <w:numId w:val="1012"/>
        </w:numPr>
        <w:pStyle w:val="Compact"/>
      </w:pPr>
      <w:r>
        <w:t xml:space="preserve">Effective Grid Emission Factor: 0.139 kg CO2e/kWh (0.556 kg CO2e/kWh * (1 - 0.75))</w:t>
      </w:r>
    </w:p>
    <w:p>
      <w:pPr>
        <w:numPr>
          <w:ilvl w:val="0"/>
          <w:numId w:val="1012"/>
        </w:numPr>
        <w:pStyle w:val="Compact"/>
      </w:pPr>
      <w:r>
        <w:rPr>
          <w:bCs/>
          <w:b/>
        </w:rPr>
        <w:t xml:space="preserve">Calculation:</w:t>
      </w:r>
      <w:r>
        <w:t xml:space="preserve"> </w:t>
      </w:r>
      <w:r>
        <w:t xml:space="preserve">5 kWh/unit * 0.139 kg CO2e/kWh = 0.695 kg CO2e/unit</w:t>
      </w:r>
    </w:p>
    <w:p>
      <w:pPr>
        <w:numPr>
          <w:ilvl w:val="0"/>
          <w:numId w:val="1012"/>
        </w:numPr>
        <w:pStyle w:val="Compact"/>
      </w:pPr>
      <w:r>
        <w:rPr>
          <w:bCs/>
          <w:b/>
        </w:rPr>
        <w:t xml:space="preserve">Estimated Scope 2 Emissions:</w:t>
      </w:r>
      <w:r>
        <w:t xml:space="preserve"> </w:t>
      </w:r>
      <w:r>
        <w:t xml:space="preserve">0.695 kg CO2e/unit</w:t>
      </w:r>
    </w:p>
    <w:bookmarkEnd w:id="33"/>
    <w:bookmarkStart w:id="39" w:name="scope-3-emissions-value-chain-emissions"/>
    <w:p>
      <w:pPr>
        <w:pStyle w:val="Heading3"/>
      </w:pPr>
      <w:r>
        <w:t xml:space="preserve">4.3. Scope 3 Emissions (Value Chain Emissions)</w:t>
      </w:r>
    </w:p>
    <w:p>
      <w:pPr>
        <w:pStyle w:val="FirstParagraph"/>
      </w:pPr>
      <w:r>
        <w:t xml:space="preserve">Scope 3 emissions are typically the largest portion of a product\'s carbon footprint, covering both upstream and downstream activities. For many companies, Scope 3 accounts for 70-90% of the total carbon footprint.</w:t>
      </w:r>
    </w:p>
    <w:bookmarkStart w:id="34" w:name="X4eb318cf884fd0d5e8b1e3f55526e2cb341a877"/>
    <w:p>
      <w:pPr>
        <w:pStyle w:val="Heading4"/>
      </w:pPr>
      <w:r>
        <w:t xml:space="preserve">4.3.1. Scope 3, Category 1: Purchased Goods and Services (Materials)</w:t>
      </w:r>
    </w:p>
    <w:p>
      <w:pPr>
        <w:pStyle w:val="FirstParagraph"/>
      </w:pPr>
      <w:r>
        <w:t xml:space="preserve">These emissions originate from the extraction, production, and manufacturing of raw materials and components listed in the BOM.</w:t>
      </w:r>
    </w:p>
    <w:p>
      <w:pPr>
        <w:numPr>
          <w:ilvl w:val="0"/>
          <w:numId w:val="1013"/>
        </w:numPr>
        <w:pStyle w:val="Compact"/>
      </w:pPr>
      <w:r>
        <w:rPr>
          <w:bCs/>
          <w:b/>
        </w:rPr>
        <w:t xml:space="preserve">Total Material Emissions from BOM:</w:t>
      </w:r>
      <w:r>
        <w:t xml:space="preserve"> </w:t>
      </w:r>
      <w:r>
        <w:t xml:space="preserve">3.60 kg CO2e/unit (from table above).</w:t>
      </w:r>
    </w:p>
    <w:p>
      <w:pPr>
        <w:numPr>
          <w:ilvl w:val="0"/>
          <w:numId w:val="1013"/>
        </w:numPr>
        <w:pStyle w:val="Compact"/>
      </w:pPr>
      <w:r>
        <w:rPr>
          <w:bCs/>
          <w:b/>
        </w:rPr>
        <w:t xml:space="preserve">Estimated Scope 3, Category 1 Emissions:</w:t>
      </w:r>
      <w:r>
        <w:t xml:space="preserve"> </w:t>
      </w:r>
      <w:r>
        <w:t xml:space="preserve">3.60 kg CO2e/unit</w:t>
      </w:r>
    </w:p>
    <w:bookmarkEnd w:id="34"/>
    <w:bookmarkStart w:id="35" w:name="X0c46a1a99b25e095689b6b7d33179fb2f4cb54e"/>
    <w:p>
      <w:pPr>
        <w:pStyle w:val="Heading4"/>
      </w:pPr>
      <w:r>
        <w:t xml:space="preserve">4.3.2. Scope 3, Category 4: Upstream Transportation and Distribution</w:t>
      </w:r>
    </w:p>
    <w:p>
      <w:pPr>
        <w:pStyle w:val="FirstParagraph"/>
      </w:pPr>
      <w:r>
        <w:t xml:space="preserve">Emissions from transporting raw materials and components to the `spnzyhupgs` factory in China.</w:t>
      </w:r>
    </w:p>
    <w:p>
      <w:pPr>
        <w:numPr>
          <w:ilvl w:val="0"/>
          <w:numId w:val="1014"/>
        </w:numPr>
        <w:pStyle w:val="Compact"/>
      </w:pPr>
      <w:r>
        <w:t xml:space="preserve">Average Unit Weight (for inbound materials): ~0.35 kg (excluding packaging) = 0.00035 tonnes</w:t>
      </w:r>
    </w:p>
    <w:p>
      <w:pPr>
        <w:numPr>
          <w:ilvl w:val="0"/>
          <w:numId w:val="1014"/>
        </w:numPr>
        <w:pStyle w:val="Compact"/>
      </w:pPr>
      <w:r>
        <w:t xml:space="preserve">Main Transport Mode: Ocean Freight (`Select Mode`)</w:t>
      </w:r>
    </w:p>
    <w:p>
      <w:pPr>
        <w:numPr>
          <w:ilvl w:val="0"/>
          <w:numId w:val="1014"/>
        </w:numPr>
        <w:pStyle w:val="Compact"/>
      </w:pPr>
      <w:r>
        <w:t xml:space="preserve">Transport Distance: 10,000 km (`mqdxkkskor`)</w:t>
      </w:r>
    </w:p>
    <w:p>
      <w:pPr>
        <w:numPr>
          <w:ilvl w:val="0"/>
          <w:numId w:val="1014"/>
        </w:numPr>
        <w:pStyle w:val="Compact"/>
      </w:pPr>
      <w:r>
        <w:t xml:space="preserve">Emission Factor: 0.01 kg CO2e/tonne-km</w:t>
      </w:r>
    </w:p>
    <w:p>
      <w:pPr>
        <w:numPr>
          <w:ilvl w:val="0"/>
          <w:numId w:val="1014"/>
        </w:numPr>
        <w:pStyle w:val="Compact"/>
      </w:pPr>
      <w:r>
        <w:rPr>
          <w:bCs/>
          <w:b/>
        </w:rPr>
        <w:t xml:space="preserve">Calculation:</w:t>
      </w:r>
      <w:r>
        <w:t xml:space="preserve"> </w:t>
      </w:r>
      <w:r>
        <w:t xml:space="preserve">0.00035 tonnes/unit * 10,000 km * 0.01 kg CO2e/tonne-km = 0.035 kg CO2e/unit</w:t>
      </w:r>
    </w:p>
    <w:p>
      <w:pPr>
        <w:numPr>
          <w:ilvl w:val="0"/>
          <w:numId w:val="1014"/>
        </w:numPr>
        <w:pStyle w:val="Compact"/>
      </w:pPr>
      <w:r>
        <w:rPr>
          <w:bCs/>
          <w:b/>
        </w:rPr>
        <w:t xml:space="preserve">Estimated Scope 3, Category 4 Emissions:</w:t>
      </w:r>
      <w:r>
        <w:t xml:space="preserve"> </w:t>
      </w:r>
      <w:r>
        <w:t xml:space="preserve">0.035 kg CO2e/unit</w:t>
      </w:r>
    </w:p>
    <w:bookmarkEnd w:id="35"/>
    <w:bookmarkStart w:id="36" w:name="X8921c1c9914893f4a50b57eaa3b6143aa0494a3"/>
    <w:p>
      <w:pPr>
        <w:pStyle w:val="Heading4"/>
      </w:pPr>
      <w:r>
        <w:t xml:space="preserve">4.3.3. Scope 3, Category 9: Downstream Transportation and Distribution</w:t>
      </w:r>
    </w:p>
    <w:p>
      <w:pPr>
        <w:pStyle w:val="FirstParagraph"/>
      </w:pPr>
      <w:r>
        <w:t xml:space="preserve">Emissions from transporting the finished `lomprltkwl` product from the factory to the end-consumer in Europe.</w:t>
      </w:r>
    </w:p>
    <w:p>
      <w:pPr>
        <w:numPr>
          <w:ilvl w:val="0"/>
          <w:numId w:val="1015"/>
        </w:numPr>
        <w:pStyle w:val="Compact"/>
      </w:pPr>
      <w:r>
        <w:t xml:space="preserve">Product Unit Weight (for outbound transport): ~0.45 kg (product + packaging) = 0.00045 tonnes</w:t>
      </w:r>
    </w:p>
    <w:p>
      <w:pPr>
        <w:numPr>
          <w:ilvl w:val="0"/>
          <w:numId w:val="1015"/>
        </w:numPr>
        <w:pStyle w:val="Compact"/>
      </w:pPr>
      <w:r>
        <w:t xml:space="preserve">Last-Mile Delivery Channel: Road Freight, Direct to Consumer (`Delivery Type`)</w:t>
      </w:r>
    </w:p>
    <w:p>
      <w:pPr>
        <w:numPr>
          <w:ilvl w:val="0"/>
          <w:numId w:val="1015"/>
        </w:numPr>
        <w:pStyle w:val="Compact"/>
      </w:pPr>
      <w:r>
        <w:t xml:space="preserve">Last-Mile Delivery Distance: 500 km</w:t>
      </w:r>
    </w:p>
    <w:p>
      <w:pPr>
        <w:numPr>
          <w:ilvl w:val="0"/>
          <w:numId w:val="1015"/>
        </w:numPr>
        <w:pStyle w:val="Compact"/>
      </w:pPr>
      <w:r>
        <w:t xml:space="preserve">Emission Factor: 0.1 kg CO2e/tonne-km</w:t>
      </w:r>
    </w:p>
    <w:p>
      <w:pPr>
        <w:numPr>
          <w:ilvl w:val="0"/>
          <w:numId w:val="1015"/>
        </w:numPr>
        <w:pStyle w:val="Compact"/>
      </w:pPr>
      <w:r>
        <w:rPr>
          <w:bCs/>
          <w:b/>
        </w:rPr>
        <w:t xml:space="preserve">Calculation:</w:t>
      </w:r>
      <w:r>
        <w:t xml:space="preserve"> </w:t>
      </w:r>
      <w:r>
        <w:t xml:space="preserve">0.00045 tonnes/unit * 500 km * 0.1 kg CO2e/tonne-km = 0.0225 kg CO2e/unit</w:t>
      </w:r>
    </w:p>
    <w:p>
      <w:pPr>
        <w:numPr>
          <w:ilvl w:val="0"/>
          <w:numId w:val="1015"/>
        </w:numPr>
        <w:pStyle w:val="Compact"/>
      </w:pPr>
      <w:r>
        <w:rPr>
          <w:bCs/>
          <w:b/>
        </w:rPr>
        <w:t xml:space="preserve">Estimated Scope 3, Category 9 Emissions:</w:t>
      </w:r>
      <w:r>
        <w:t xml:space="preserve"> </w:t>
      </w:r>
      <w:r>
        <w:t xml:space="preserve">0.0225 kg CO2e/unit</w:t>
      </w:r>
    </w:p>
    <w:bookmarkEnd w:id="36"/>
    <w:bookmarkStart w:id="37" w:name="scope-3-category-11-use-of-sold-products"/>
    <w:p>
      <w:pPr>
        <w:pStyle w:val="Heading4"/>
      </w:pPr>
      <w:r>
        <w:t xml:space="preserve">4.3.4. Scope 3, Category 11: Use of Sold Products</w:t>
      </w:r>
    </w:p>
    <w:p>
      <w:pPr>
        <w:pStyle w:val="FirstParagraph"/>
      </w:pPr>
      <w:r>
        <w:t xml:space="preserve">Emissions from the energy consumed by `lomprltkwl` during its lifespan.</w:t>
      </w:r>
    </w:p>
    <w:p>
      <w:pPr>
        <w:numPr>
          <w:ilvl w:val="0"/>
          <w:numId w:val="1016"/>
        </w:numPr>
        <w:pStyle w:val="Compact"/>
      </w:pPr>
      <w:r>
        <w:t xml:space="preserve">Product Lifespan: 5 years (`puqoslwtqx`)</w:t>
      </w:r>
    </w:p>
    <w:p>
      <w:pPr>
        <w:numPr>
          <w:ilvl w:val="0"/>
          <w:numId w:val="1016"/>
        </w:numPr>
        <w:pStyle w:val="Compact"/>
      </w:pPr>
      <w:r>
        <w:t xml:space="preserve">Energy Consumption in Use: 10 kWh/year (`nytrvsfggx`)</w:t>
      </w:r>
    </w:p>
    <w:p>
      <w:pPr>
        <w:numPr>
          <w:ilvl w:val="0"/>
          <w:numId w:val="1016"/>
        </w:numPr>
        <w:pStyle w:val="Compact"/>
      </w:pPr>
      <w:r>
        <w:t xml:space="preserve">Electricity Emission Factor (European Average): 0.25 kg CO2e/kWh</w:t>
      </w:r>
    </w:p>
    <w:p>
      <w:pPr>
        <w:numPr>
          <w:ilvl w:val="0"/>
          <w:numId w:val="1016"/>
        </w:numPr>
        <w:pStyle w:val="Compact"/>
      </w:pPr>
      <w:r>
        <w:rPr>
          <w:bCs/>
          <w:b/>
        </w:rPr>
        <w:t xml:space="preserve">Calculation:</w:t>
      </w:r>
      <w:r>
        <w:t xml:space="preserve"> </w:t>
      </w:r>
      <w:r>
        <w:t xml:space="preserve">10 kWh/year * 5 years * 0.25 kg CO2e/kWh = 12.50 kg CO2e/unit</w:t>
      </w:r>
    </w:p>
    <w:p>
      <w:pPr>
        <w:numPr>
          <w:ilvl w:val="0"/>
          <w:numId w:val="1016"/>
        </w:numPr>
        <w:pStyle w:val="Compact"/>
      </w:pPr>
      <w:r>
        <w:rPr>
          <w:bCs/>
          <w:b/>
        </w:rPr>
        <w:t xml:space="preserve">Estimated Scope 3, Category 11 Emissions:</w:t>
      </w:r>
      <w:r>
        <w:t xml:space="preserve"> </w:t>
      </w:r>
      <w:r>
        <w:t xml:space="preserve">12.50 kg CO2e/unit</w:t>
      </w:r>
    </w:p>
    <w:bookmarkEnd w:id="37"/>
    <w:bookmarkStart w:id="38" w:name="X8a83d50c0d89d142371b1cb2678444c0262a9c4"/>
    <w:p>
      <w:pPr>
        <w:pStyle w:val="Heading4"/>
      </w:pPr>
      <w:r>
        <w:t xml:space="preserve">4.3.5. Scope 3, Category 12: End-of-Life Treatment of Sold Products</w:t>
      </w:r>
    </w:p>
    <w:p>
      <w:pPr>
        <w:pStyle w:val="FirstParagraph"/>
      </w:pPr>
      <w:r>
        <w:t xml:space="preserve">Emissions associated with the disposal and recycling of the product at the end of its life.</w:t>
      </w:r>
    </w:p>
    <w:p>
      <w:pPr>
        <w:numPr>
          <w:ilvl w:val="0"/>
          <w:numId w:val="1017"/>
        </w:numPr>
        <w:pStyle w:val="Compact"/>
      </w:pPr>
      <w:r>
        <w:t xml:space="preserve">Product Total Mass (EoL): 0.45 kg</w:t>
      </w:r>
    </w:p>
    <w:p>
      <w:pPr>
        <w:numPr>
          <w:ilvl w:val="0"/>
          <w:numId w:val="1017"/>
        </w:numPr>
        <w:pStyle w:val="Compact"/>
      </w:pPr>
      <w:r>
        <w:t xml:space="preserve">Recyclability Percentage: 80% (`lrqgtzrmkm`)</w:t>
      </w:r>
    </w:p>
    <w:p>
      <w:pPr>
        <w:numPr>
          <w:ilvl w:val="0"/>
          <w:numId w:val="1017"/>
        </w:numPr>
        <w:pStyle w:val="Compact"/>
      </w:pPr>
      <w:r>
        <w:t xml:space="preserve">Mass Recycled: 0.45 kg * 0.80 = 0.36 kg</w:t>
      </w:r>
    </w:p>
    <w:p>
      <w:pPr>
        <w:numPr>
          <w:ilvl w:val="0"/>
          <w:numId w:val="1017"/>
        </w:numPr>
        <w:pStyle w:val="Compact"/>
      </w:pPr>
      <w:r>
        <w:t xml:space="preserve">Mass Landfilled: 0.45 kg * 0.20 = 0.09 kg</w:t>
      </w:r>
    </w:p>
    <w:p>
      <w:pPr>
        <w:numPr>
          <w:ilvl w:val="0"/>
          <w:numId w:val="1017"/>
        </w:numPr>
        <w:pStyle w:val="Compact"/>
      </w:pPr>
      <w:r>
        <w:t xml:space="preserve">Recycling Credit: 0.36 kg * -0.05 kg CO2e/kg = -0.018 kg CO2e</w:t>
      </w:r>
    </w:p>
    <w:p>
      <w:pPr>
        <w:numPr>
          <w:ilvl w:val="0"/>
          <w:numId w:val="1017"/>
        </w:numPr>
        <w:pStyle w:val="Compact"/>
      </w:pPr>
      <w:r>
        <w:t xml:space="preserve">Landfill Emissions: 0.09 kg * 0.50 kg CO2e/kg = 0.045 kg CO2e</w:t>
      </w:r>
    </w:p>
    <w:p>
      <w:pPr>
        <w:numPr>
          <w:ilvl w:val="0"/>
          <w:numId w:val="1017"/>
        </w:numPr>
        <w:pStyle w:val="Compact"/>
      </w:pPr>
      <w:r>
        <w:rPr>
          <w:bCs/>
          <w:b/>
        </w:rPr>
        <w:t xml:space="preserve">Calculation:</w:t>
      </w:r>
      <w:r>
        <w:t xml:space="preserve"> </w:t>
      </w:r>
      <w:r>
        <w:t xml:space="preserve">-0.018 kg CO2e + 0.045 kg CO2e = 0.027 kg CO2e/unit</w:t>
      </w:r>
    </w:p>
    <w:p>
      <w:pPr>
        <w:numPr>
          <w:ilvl w:val="0"/>
          <w:numId w:val="1017"/>
        </w:numPr>
        <w:pStyle w:val="Compact"/>
      </w:pPr>
      <w:r>
        <w:rPr>
          <w:bCs/>
          <w:b/>
        </w:rPr>
        <w:t xml:space="preserve">Estimated Scope 3, Category 12 Emissions:</w:t>
      </w:r>
      <w:r>
        <w:t xml:space="preserve"> </w:t>
      </w:r>
      <w:r>
        <w:t xml:space="preserve">0.027 kg CO2e/unit</w:t>
      </w:r>
    </w:p>
    <w:bookmarkEnd w:id="38"/>
    <w:bookmarkEnd w:id="39"/>
    <w:bookmarkStart w:id="40" w:name="ghg-protocol-scopes-summary"/>
    <w:p>
      <w:pPr>
        <w:pStyle w:val="Heading3"/>
      </w:pPr>
      <w:r>
        <w:t xml:space="preserve">4.4. GHG Protocol Scopes Summary</w:t>
      </w:r>
    </w:p>
    <w:p>
      <w:pPr>
        <w:pStyle w:val="FirstParagraph"/>
      </w:pPr>
      <w:r>
        <w:t xml:space="preserve">The total Product Carbon Footprint for one unit of `lomprltkwl` is summarized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Description</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for Production</w:t>
            </w:r>
          </w:p>
        </w:tc>
        <w:tc>
          <w:tcPr/>
          <w:p>
            <w:pPr>
              <w:pStyle w:val="Compact"/>
              <w:jc w:val="left"/>
            </w:pPr>
            <w:r>
              <w:t xml:space="preserve">0.695</w:t>
            </w:r>
          </w:p>
        </w:tc>
      </w:tr>
      <w:tr>
        <w:tc>
          <w:tcPr>
            <w:gridSpan w:val="3"/>
          </w:tcPr>
          <w:p>
            <w:pPr>
              <w:pStyle w:val="Compact"/>
              <w:jc w:val="left"/>
            </w:pPr>
            <w:r>
              <w:t xml:space="preserve">Scope 3 (Value Chain Emissions)</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3.600</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0.035</w:t>
            </w:r>
          </w:p>
        </w:tc>
      </w:tr>
      <w:tr>
        <w:tc>
          <w:tcPr/>
          <w:p>
            <w:pPr>
              <w:pStyle w:val="Compact"/>
              <w:jc w:val="left"/>
            </w:pPr>
            <w:r>
              <w:t xml:space="preserve">Scope 3, Category 9</w:t>
            </w:r>
          </w:p>
        </w:tc>
        <w:tc>
          <w:tcPr/>
          <w:p>
            <w:pPr>
              <w:pStyle w:val="Compact"/>
              <w:jc w:val="left"/>
            </w:pPr>
            <w:r>
              <w:t xml:space="preserve">Downstream Transportation and Distribution</w:t>
            </w:r>
          </w:p>
        </w:tc>
        <w:tc>
          <w:tcPr/>
          <w:p>
            <w:pPr>
              <w:pStyle w:val="Compact"/>
              <w:jc w:val="left"/>
            </w:pPr>
            <w:r>
              <w:t xml:space="preserve">0.023</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12.500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0.027</w:t>
            </w:r>
          </w:p>
        </w:tc>
      </w:tr>
      <w:tr>
        <w:tc>
          <w:tcPr>
            <w:gridSpan w:val="2"/>
          </w:tcPr>
          <w:p>
            <w:pPr>
              <w:pStyle w:val="Compact"/>
              <w:jc w:val="right"/>
            </w:pPr>
            <w:r>
              <w:rPr>
                <w:bCs/>
                <w:b/>
              </w:rPr>
              <w:t xml:space="preserve">Total Product Carbon Footprint (kg CO2e/unit):</w:t>
            </w:r>
          </w:p>
        </w:tc>
        <w:tc>
          <w:tcPr/>
          <w:p>
            <w:pPr>
              <w:pStyle w:val="Compact"/>
              <w:jc w:val="left"/>
            </w:pPr>
            <w:r>
              <w:rPr>
                <w:bCs/>
                <w:b/>
              </w:rPr>
              <w:t xml:space="preserve">16.880</w:t>
            </w:r>
          </w:p>
        </w:tc>
      </w:tr>
    </w:tbl>
    <w:bookmarkEnd w:id="40"/>
    <w:bookmarkStart w:id="41" w:name="lsr-update-application"/>
    <w:p>
      <w:pPr>
        <w:pStyle w:val="Heading3"/>
      </w:pPr>
      <w:r>
        <w:t xml:space="preserve">4.5. 2026 LSR Update Application</w:t>
      </w:r>
    </w:p>
    <w:p>
      <w:pPr>
        <w:pStyle w:val="FirstParagraph"/>
      </w:pPr>
      <w:r>
        <w:t xml:space="preserve">The GHG Protocol\'s Land Sector and Removals (LSR) Standard, released on January 30, 2026, and taking effect on January 1, 2027, provides crucial guidance for accounting for land emissions, CO2 removals, and biogenic products. While `lomprltkwl` is not directly an agricultural or forestry product, the LSR Standard is considered in this analysis by acknowledging potential land-use change emissions in the upstream supply chain of materials (e.g., bio-based plastics, if applicable, or impacts related to raw material extraction sites). Furthermore, any carbon removals related to circular/take-back programs, if they involve nature-based solutions or technological removals, would be accounted for under the robust frameworks of the LSR Standard. `spnzyhupgs` has active circular/take-back programs (`lmkrnhpjld`), and future iterations of this PCF should leverage the detailed guidance of the LSR Standard (which is expected to be published in Q2 2026) to quantify any associated removals or land-related impacts.</w:t>
      </w:r>
    </w:p>
    <w:bookmarkEnd w:id="41"/>
    <w:bookmarkStart w:id="42" w:name="scope-3-compliance-95-coverage"/>
    <w:p>
      <w:pPr>
        <w:pStyle w:val="Heading3"/>
      </w:pPr>
      <w:r>
        <w:t xml:space="preserve">4.6. Scope 3 Compliance (95% Coverage)</w:t>
      </w:r>
    </w:p>
    <w:p>
      <w:pPr>
        <w:pStyle w:val="FirstParagraph"/>
      </w:pPr>
      <w:r>
        <w:t xml:space="preserve">As per 2026 requirements, this analysis aims for at least 95% coverage for Scope 3 reporting. By including detailed material data, upstream and downstream transportation, the full use phase, and end-of-life scenarios, a substantial portion of the value chain emissions is captured. The "Purchased Goods and Services" and "Use of Sold Products" categories are typically the largest contributors to Scope 3 for electronic devices, and these have been comprehensively addressed.</w:t>
      </w:r>
    </w:p>
    <w:p>
      <w:r>
        <w:pict>
          <v:rect style="width:0;height:1.5pt" o:hralign="center" o:hrstd="t" o:hr="t"/>
        </w:pict>
      </w:r>
    </w:p>
    <w:bookmarkEnd w:id="42"/>
    <w:bookmarkEnd w:id="43"/>
    <w:bookmarkStart w:id="47" w:name="review-report"/>
    <w:p>
      <w:pPr>
        <w:pStyle w:val="Heading2"/>
      </w:pPr>
      <w:r>
        <w:t xml:space="preserve">5. Review &amp; Report</w:t>
      </w:r>
    </w:p>
    <w:bookmarkStart w:id="44" w:name="hotspot-analysis"/>
    <w:p>
      <w:pPr>
        <w:pStyle w:val="Heading3"/>
      </w:pPr>
      <w:r>
        <w:t xml:space="preserve">5.1. Hotspot Analysis</w:t>
      </w:r>
    </w:p>
    <w:p>
      <w:pPr>
        <w:pStyle w:val="FirstParagraph"/>
      </w:pPr>
      <w:r>
        <w:t xml:space="preserve">The PCF analysis reveals the following key emission hotspots for `lomprltkwl`:</w:t>
      </w:r>
    </w:p>
    <w:p>
      <w:pPr>
        <w:numPr>
          <w:ilvl w:val="0"/>
          <w:numId w:val="1018"/>
        </w:numPr>
        <w:pStyle w:val="Compact"/>
      </w:pPr>
      <w:r>
        <w:rPr>
          <w:bCs/>
          <w:b/>
        </w:rPr>
        <w:t xml:space="preserve">Use Phase (Scope 3, Category 11):</w:t>
      </w:r>
      <w:r>
        <w:t xml:space="preserve"> </w:t>
      </w:r>
      <w:r>
        <w:t xml:space="preserve">Accounting for approximately 74% of the total PCF, the energy consumption during the product\'s 5-year lifespan is by far the largest contributor (12.50 kg CO2e). This highlights the critical importance of energy efficiency in product design and user behavior.</w:t>
      </w:r>
    </w:p>
    <w:p>
      <w:pPr>
        <w:numPr>
          <w:ilvl w:val="0"/>
          <w:numId w:val="1018"/>
        </w:numPr>
        <w:pStyle w:val="Compact"/>
      </w:pPr>
      <w:r>
        <w:rPr>
          <w:bCs/>
          <w:b/>
        </w:rPr>
        <w:t xml:space="preserve">Material Acquisition (Scope 3, Category 1):</w:t>
      </w:r>
      <w:r>
        <w:t xml:space="preserve"> </w:t>
      </w:r>
      <w:r>
        <w:t xml:space="preserve">The production of materials, especially the electronic PCB assembly and the lithium-ion battery, represents the second largest hotspot (3.60 kg CO2e), contributing about 21% to the total PCF.</w:t>
      </w:r>
    </w:p>
    <w:p>
      <w:pPr>
        <w:numPr>
          <w:ilvl w:val="0"/>
          <w:numId w:val="1018"/>
        </w:numPr>
        <w:pStyle w:val="Compact"/>
      </w:pPr>
      <w:r>
        <w:rPr>
          <w:bCs/>
          <w:b/>
        </w:rPr>
        <w:t xml:space="preserve">Manufacturing Electricity (Scope 2):</w:t>
      </w:r>
      <w:r>
        <w:t xml:space="preserve"> </w:t>
      </w:r>
      <w:r>
        <w:t xml:space="preserve">Despite 75% renewable energy usage, the remaining grid electricity for production contributes significantly (0.695 kg CO2e).</w:t>
      </w:r>
    </w:p>
    <w:bookmarkEnd w:id="44"/>
    <w:bookmarkStart w:id="45" w:name="data-reliability-and-assumptions"/>
    <w:p>
      <w:pPr>
        <w:pStyle w:val="Heading3"/>
      </w:pPr>
      <w:r>
        <w:t xml:space="preserve">5.2. Data Reliability and Assumptions</w:t>
      </w:r>
    </w:p>
    <w:p>
      <w:pPr>
        <w:pStyle w:val="FirstParagraph"/>
      </w:pPr>
      <w:r>
        <w:t xml:space="preserve">The accuracy of this PCF relies on a combination of primary data and industry-standard secondary emission factors. While the provided BOM is treated as \'high-accuracy\', generic emission factors from databases are used for materials, transport, and energy where specific supplier-provided data was not available. Assumptions regarding transport distances, last-mile delivery, and the end-of-life scenarios (e.g., European average electricity mix for use phase, recycling credits) are based on industry averages and expert estimates. The use of illustrative emission factors means the precise numerical result should be interpreted as an estimate, best used for comparative analysis and hotspot identification rather than absolute verification without further primary data from all supply chain tiers. Future iterations should aim to replace secondary data with primary data from suppliers and logistics providers wherever possible to improve accuracy.</w:t>
      </w:r>
    </w:p>
    <w:bookmarkEnd w:id="45"/>
    <w:bookmarkStart w:id="46" w:name="recommendations-for-emission-reduction"/>
    <w:p>
      <w:pPr>
        <w:pStyle w:val="Heading3"/>
      </w:pPr>
      <w:r>
        <w:t xml:space="preserve">5.3. Recommendations for Emission Reduction</w:t>
      </w:r>
    </w:p>
    <w:p>
      <w:pPr>
        <w:pStyle w:val="FirstParagraph"/>
      </w:pPr>
      <w:r>
        <w:t xml:space="preserve">Based on the hotspot analysis, `spnzyhupgs` should focus on the following strategies to reduce the PCF of `lomprltkwl`:</w:t>
      </w:r>
    </w:p>
    <w:p>
      <w:pPr>
        <w:numPr>
          <w:ilvl w:val="0"/>
          <w:numId w:val="1019"/>
        </w:numPr>
        <w:pStyle w:val="Compact"/>
      </w:pPr>
      <w:r>
        <w:rPr>
          <w:bCs/>
          <w:b/>
        </w:rPr>
        <w:t xml:space="preserve">Enhance Use Phase Efficiency:</w:t>
      </w:r>
      <w:r>
        <w:t xml:space="preserve"> </w:t>
      </w:r>
      <w:r>
        <w:t xml:space="preserve">Invest in R&amp;D to significantly reduce the energy consumption of `lomprltkwl` during its operational life. This could include more efficient components, smart power management features, or longer battery life to reduce charging frequency.</w:t>
      </w:r>
    </w:p>
    <w:p>
      <w:pPr>
        <w:numPr>
          <w:ilvl w:val="0"/>
          <w:numId w:val="1019"/>
        </w:numPr>
        <w:pStyle w:val="Compact"/>
      </w:pPr>
      <w:r>
        <w:rPr>
          <w:bCs/>
          <w:b/>
        </w:rPr>
        <w:t xml:space="preserve">Sustainable Material Sourcing:</w:t>
      </w:r>
      <w:r>
        <w:t xml:space="preserve"> </w:t>
      </w:r>
      <w:r>
        <w:t xml:space="preserve">Collaborate with suppliers to identify and integrate lower-carbon alternatives for the electronic PCB assembly and lithium-ion battery. Exploring materials with higher recycled content or bio-based alternatives for the plastic casing could yield substantial reductions.</w:t>
      </w:r>
    </w:p>
    <w:p>
      <w:pPr>
        <w:numPr>
          <w:ilvl w:val="0"/>
          <w:numId w:val="1019"/>
        </w:numPr>
        <w:pStyle w:val="Compact"/>
      </w:pPr>
      <w:r>
        <w:rPr>
          <w:bCs/>
          <w:b/>
        </w:rPr>
        <w:t xml:space="preserve">Increase Renewable Energy Procurement:</w:t>
      </w:r>
      <w:r>
        <w:t xml:space="preserve"> </w:t>
      </w:r>
      <w:r>
        <w:t xml:space="preserve">While 75% renewable energy usage is commendable, further increasing the share of renewable energy in manufacturing operations in China, or encouraging suppliers to do so, will directly reduce Scope 2 emissions.</w:t>
      </w:r>
    </w:p>
    <w:p>
      <w:pPr>
        <w:numPr>
          <w:ilvl w:val="0"/>
          <w:numId w:val="1019"/>
        </w:numPr>
        <w:pStyle w:val="Compact"/>
      </w:pPr>
      <w:r>
        <w:rPr>
          <w:bCs/>
          <w:b/>
        </w:rPr>
        <w:t xml:space="preserve">Optimize Logistics:</w:t>
      </w:r>
      <w:r>
        <w:t xml:space="preserve"> </w:t>
      </w:r>
      <w:r>
        <w:t xml:space="preserve">Explore opportunities to optimize transport routes, utilize more fuel-efficient modes (e.g., rail over road for longer distances within Europe), or partner with logistics providers using low-emission vehicles.</w:t>
      </w:r>
    </w:p>
    <w:p>
      <w:pPr>
        <w:numPr>
          <w:ilvl w:val="0"/>
          <w:numId w:val="1019"/>
        </w:numPr>
        <w:pStyle w:val="Compact"/>
      </w:pPr>
      <w:r>
        <w:rPr>
          <w:bCs/>
          <w:b/>
        </w:rPr>
        <w:t xml:space="preserve">Strengthen Circular Economy Initiatives:</w:t>
      </w:r>
      <w:r>
        <w:t xml:space="preserve"> </w:t>
      </w:r>
      <w:r>
        <w:t xml:space="preserve">Continue to promote and expand the product take-back program (`lmkrnhpjld`) and ensure high-quality recycling processes to maximize material recovery and minimize end-of-life impacts. Education to consumers about proper disposal and recycling is also key.</w:t>
      </w:r>
    </w:p>
    <w:p>
      <w:r>
        <w:pict>
          <v:rect style="width:0;height:1.5pt" o:hralign="center" o:hrstd="t" o:hr="t"/>
        </w:pict>
      </w:r>
    </w:p>
    <w:p>
      <w:pPr>
        <w:pStyle w:val="FirstParagraph"/>
      </w:pPr>
      <w:r>
        <w:t xml:space="preserve">Confidential - Internal Use Only | Page</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lomprltkwl - spnzyhupgs</dc:title>
  <dc:creator/>
  <dc:description>High-detail Product Carbon Footprint (PCF) analysis for lomprltkwl, conducted by Senior Sustainability Consultant qjkhdflgom for spnzyhupgs, adhering to GHG Protocol and 2026 LSR Update requirements.</dc:description>
  <dc:language>en</dc:language>
  <cp:keywords/>
  <dcterms:created xsi:type="dcterms:W3CDTF">2026-05-30T17:49:18Z</dcterms:created>
  <dcterms:modified xsi:type="dcterms:W3CDTF">2026-05-30T17:49:18Z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