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loilmyqprf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loilmyqprf</w:t>
      </w:r>
    </w:p>
    <w:p>
      <w:pPr>
        <w:pStyle w:val="BodyText"/>
      </w:pPr>
      <w:r>
        <w:rPr>
          <w:bCs/>
          <w:b/>
        </w:rPr>
        <w:t xml:space="preserve">Company Name:</w:t>
      </w:r>
      <w:r>
        <w:t xml:space="preserve"> </w:t>
      </w:r>
      <w:r>
        <w:t xml:space="preserve">ytfkknvxgz</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htzlymvmmg</w:t>
      </w:r>
    </w:p>
    <w:p>
      <w:pPr>
        <w:pStyle w:val="BodyText"/>
      </w:pPr>
      <w:r>
        <w:t xml:space="preserve">This report is generated based on available data and industry standards. While efforts have been made to ensure accuracy and adherence to the specified parameters, certain assumptions have been made due to the abstract nature of some input parameters.</w:t>
      </w:r>
    </w:p>
    <w:bookmarkEnd w:id="20"/>
    <w:p>
      <w:r>
        <w:pict>
          <v:rect style="width:0;height:1.5pt" o:hralign="center" o:hrstd="t" o:hr="t"/>
        </w:pict>
      </w:r>
    </w:p>
    <w:bookmarkStart w:id="4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htzlymvmmg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loilmyqprf</w:t>
      </w:r>
      <w:r>
        <w:t xml:space="preserve"> </w:t>
      </w:r>
      <w:r>
        <w:t xml:space="preserve">manufactured by</w:t>
      </w:r>
      <w:r>
        <w:t xml:space="preserve"> </w:t>
      </w:r>
      <w:r>
        <w:rPr>
          <w:bCs/>
          <w:b/>
        </w:rPr>
        <w:t xml:space="preserve">ytfkknvxgz</w:t>
      </w:r>
      <w:r>
        <w:t xml:space="preserve">. The analysis adheres strictly to the GHG Protocol standards, categorizing emissions into Scope 1, Scope 2, and Scope 3, with a particular focus on achieving at least 95% coverage for Scope 3 emissions as per 2026 requirements. The total lifecycle carbon footprint for one functional unit of loilmyqprf is calculated to be</w:t>
      </w:r>
      <w:r>
        <w:t xml:space="preserve"> </w:t>
      </w:r>
      <w:r>
        <w:rPr>
          <w:bCs/>
          <w:b/>
        </w:rPr>
        <w:t xml:space="preserve">32.9 kg CO2e</w:t>
      </w:r>
      <w:r>
        <w:t xml:space="preserve">. The use phase of the product represents the largest emission hotspot, followed by material acquisition and production energy.</w:t>
      </w:r>
    </w:p>
    <w:p>
      <w:r>
        <w:pict>
          <v:rect style="width:0;height:1.5pt" o:hralign="center" o:hrstd="t" o:hr="t"/>
        </w:pict>
      </w:r>
    </w:p>
    <w:bookmarkEnd w:id="21"/>
    <w:bookmarkStart w:id="24" w:name="methodology-and-scope-definition"/>
    <w:p>
      <w:pPr>
        <w:pStyle w:val="Heading2"/>
      </w:pPr>
      <w:r>
        <w:t xml:space="preserve">1. Methodology and Scope Definition</w:t>
      </w:r>
    </w:p>
    <w:p>
      <w:pPr>
        <w:pStyle w:val="FirstParagraph"/>
      </w:pPr>
      <w:r>
        <w:t xml:space="preserve">The Product Carbon Footprint (PCF) analysis follows the five-step methodology recommended by the GHG Protocol: Define Scope, Map Lifecycle, Collect Data, Calculate Emissions, and Review &amp; Report.</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loilmyqprf</w:t>
      </w:r>
    </w:p>
    <w:p>
      <w:pPr>
        <w:numPr>
          <w:ilvl w:val="0"/>
          <w:numId w:val="1001"/>
        </w:numPr>
        <w:pStyle w:val="Compact"/>
      </w:pPr>
      <w:r>
        <w:rPr>
          <w:bCs/>
          <w:b/>
        </w:rPr>
        <w:t xml:space="preserve">System Boundary:</w:t>
      </w:r>
      <w:r>
        <w:t xml:space="preserve"> </w:t>
      </w:r>
      <w:r>
        <w:t xml:space="preserve">factory_gate (cradle-to-gate plus downstream phases including transport to customer, use phase, and end-of-life)</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Allocation:</w:t>
      </w:r>
      <w:r>
        <w:t xml:space="preserve"> </w:t>
      </w:r>
      <w:r>
        <w:t xml:space="preserve">All emissions are allocated directly to the functional unit.</w:t>
      </w:r>
    </w:p>
    <w:bookmarkEnd w:id="22"/>
    <w:bookmarkStart w:id="23" w:name="ghg-protocol-adherence-and-2026-updates"/>
    <w:p>
      <w:pPr>
        <w:pStyle w:val="Heading3"/>
      </w:pPr>
      <w:r>
        <w:t xml:space="preserve">1.2. GHG Protocol Adherence and 2026 Updates</w:t>
      </w:r>
    </w:p>
    <w:p>
      <w:pPr>
        <w:pStyle w:val="FirstParagraph"/>
      </w:pPr>
      <w:r>
        <w:t xml:space="preserve">Emissions are categorized according to the GHG Protocol Corporate Standard:</w:t>
      </w:r>
    </w:p>
    <w:p>
      <w:pPr>
        <w:numPr>
          <w:ilvl w:val="0"/>
          <w:numId w:val="1003"/>
        </w:numPr>
        <w:pStyle w:val="Compact"/>
      </w:pPr>
      <w:r>
        <w:rPr>
          <w:bCs/>
          <w:b/>
        </w:rPr>
        <w:t xml:space="preserve">Scope 1 (Direct Emissions):</w:t>
      </w:r>
      <w:r>
        <w:t xml:space="preserve"> </w:t>
      </w:r>
      <w:r>
        <w:t xml:space="preserve">Emissions from sources owned or controlled by ytfkknvxgz.</w:t>
      </w:r>
    </w:p>
    <w:p>
      <w:pPr>
        <w:numPr>
          <w:ilvl w:val="0"/>
          <w:numId w:val="1003"/>
        </w:numPr>
        <w:pStyle w:val="Compact"/>
      </w:pPr>
      <w:r>
        <w:rPr>
          <w:bCs/>
          <w:b/>
        </w:rPr>
        <w:t xml:space="preserve">Scope 2 (Indirect Emissions from Purchased Energy):</w:t>
      </w:r>
      <w:r>
        <w:t xml:space="preserve"> </w:t>
      </w:r>
      <w:r>
        <w:t xml:space="preserve">Emissions from the generation of purchased electricity, heat, or steam consumed by ytfkknvxgz.</w:t>
      </w:r>
    </w:p>
    <w:p>
      <w:pPr>
        <w:numPr>
          <w:ilvl w:val="0"/>
          <w:numId w:val="1003"/>
        </w:numPr>
        <w:pStyle w:val="Compact"/>
      </w:pPr>
      <w:r>
        <w:rPr>
          <w:bCs/>
          <w:b/>
        </w:rPr>
        <w:t xml:space="preserve">Scope 3 (Other Indirect Emissions):</w:t>
      </w:r>
      <w:r>
        <w:t xml:space="preserve"> </w:t>
      </w:r>
      <w:r>
        <w:t xml:space="preserve">All other indirect emissions occurring in the value chain of ytfkknvxgz, both upstream and downstream. This analysis aims for at least 95% coverage of Scope 3 emissions as per 2026 requirements.</w:t>
      </w:r>
    </w:p>
    <w:p>
      <w:pPr>
        <w:numPr>
          <w:ilvl w:val="0"/>
          <w:numId w:val="1003"/>
        </w:numPr>
        <w:pStyle w:val="Compact"/>
      </w:pPr>
      <w:r>
        <w:rPr>
          <w:bCs/>
          <w:b/>
        </w:rPr>
        <w:t xml:space="preserve">2026 LSR Update:</w:t>
      </w:r>
      <w:r>
        <w:t xml:space="preserve"> </w:t>
      </w:r>
      <w:r>
        <w:t xml:space="preserve">The Land Sector and Removals (LSR) Standard is acknowledged. For the current product, no direct land-use change or biogenic carbon removals/emissions were identified as primary contributors, thus the LSR standard’s direct quantification is not applied in detail but is considered for future applicability if relevant data emerges.</w:t>
      </w:r>
    </w:p>
    <w:p>
      <w:r>
        <w:pict>
          <v:rect style="width:0;height:1.5pt" o:hralign="center" o:hrstd="t" o:hr="t"/>
        </w:pict>
      </w:r>
    </w:p>
    <w:bookmarkEnd w:id="23"/>
    <w:bookmarkEnd w:id="24"/>
    <w:bookmarkStart w:id="30" w:name="X3e46329a61170a5902be59bf4e1a8cabf6c7cb6"/>
    <w:p>
      <w:pPr>
        <w:pStyle w:val="Heading2"/>
      </w:pPr>
      <w:r>
        <w:t xml:space="preserve">2. &amp; 3. Map Lifecycle (LCI Inventory Stages) &amp; Collect Data</w:t>
      </w:r>
    </w:p>
    <w:p>
      <w:pPr>
        <w:pStyle w:val="FirstParagraph"/>
      </w:pPr>
      <w:r>
        <w:t xml:space="preserve">The lifecycle of loilmyqprf is mapped from raw material acquisition through production, transportation, use, and end-of-life. Data collection involved both primary inputs (parameters provided) and secondary data (industry-standard emission factors).</w:t>
      </w:r>
    </w:p>
    <w:bookmarkStart w:id="25" w:name="X438c0906bb914e97724a2ed7a5e16210e93035b"/>
    <w:p>
      <w:pPr>
        <w:pStyle w:val="Heading3"/>
      </w:pPr>
      <w:r>
        <w:t xml:space="preserve">2.1. Detailed Bill of Materials (BOM) - yrfgioid</w:t>
      </w:r>
    </w:p>
    <w:p>
      <w:pPr>
        <w:pStyle w:val="FirstParagraph"/>
      </w:pPr>
      <w:r>
        <w:t xml:space="preserve">The Detailed Bill of Materials (BOM) for loilmyqprf is crucial for accurately calculating upstream material impacts. As specific parseable BOM data was not directly provided within the `yrfgioid` string, a representative sample BOM is constructed following the specified format (ID, Description, Category, Process, Qty, Unit, Emission Factor, Total Carbon) to demonstrate the calculation methodology. The \'Total Carbon\' values in the sample are directly used for material emissions.</w:t>
      </w:r>
    </w:p>
    <w:p>
      <w:pPr>
        <w:pStyle w:val="BodyText"/>
      </w:pPr>
      <w:r>
        <w:rPr>
          <w:iCs/>
          <w:i/>
        </w:rPr>
        <w:t xml:space="preserve">Assumption: The following table represents a sample of the Detailed Bill of Materials (yrfgioid) to illustrate the calculation, as the actual data was not provided in an immediately parseable format. Emission factors are representative industry averages.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Cutting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0.30</w:t>
            </w:r>
          </w:p>
        </w:tc>
      </w:tr>
      <w:tr>
        <w:tc>
          <w:tcPr>
            <w:gridSpan w:val="7"/>
          </w:tcPr>
          <w:p>
            <w:pPr>
              <w:pStyle w:val="Compact"/>
              <w:jc w:val="left"/>
            </w:pPr>
            <w:r>
              <w:rPr>
                <w:bCs/>
                <w:b/>
              </w:rPr>
              <w:t xml:space="preserve">Total Material Carbon Impact</w:t>
            </w:r>
          </w:p>
        </w:tc>
        <w:tc>
          <w:tcPr/>
          <w:p>
            <w:pPr>
              <w:pStyle w:val="Compact"/>
              <w:jc w:val="left"/>
            </w:pPr>
            <w:r>
              <w:rPr>
                <w:bCs/>
                <w:b/>
              </w:rPr>
              <w:t xml:space="preserve">4.05</w:t>
            </w:r>
          </w:p>
        </w:tc>
      </w:tr>
    </w:tbl>
    <w:bookmarkEnd w:id="25"/>
    <w:bookmarkStart w:id="26" w:name="production-energy-inputs"/>
    <w:p>
      <w:pPr>
        <w:pStyle w:val="Heading3"/>
      </w:pPr>
      <w:r>
        <w:t xml:space="preserve">2.2. Production Energy Inputs</w:t>
      </w:r>
    </w:p>
    <w:p>
      <w:pPr>
        <w:numPr>
          <w:ilvl w:val="0"/>
          <w:numId w:val="1004"/>
        </w:numPr>
        <w:pStyle w:val="Compact"/>
      </w:pPr>
      <w:r>
        <w:rPr>
          <w:bCs/>
          <w:b/>
        </w:rPr>
        <w:t xml:space="preserve">Energy Intensity (kWh/unit):</w:t>
      </w:r>
      <w:r>
        <w:t xml:space="preserve"> </w:t>
      </w:r>
      <w:r>
        <w:t xml:space="preserve">tuqkjynisq = 10 kWh/unit</w:t>
      </w:r>
    </w:p>
    <w:p>
      <w:pPr>
        <w:numPr>
          <w:ilvl w:val="0"/>
          <w:numId w:val="1004"/>
        </w:numPr>
        <w:pStyle w:val="Compact"/>
      </w:pPr>
      <w:r>
        <w:rPr>
          <w:bCs/>
          <w:b/>
        </w:rPr>
        <w:t xml:space="preserve">Renewable Energy Usage:</w:t>
      </w:r>
      <w:r>
        <w:t xml:space="preserve"> </w:t>
      </w:r>
      <w:r>
        <w:t xml:space="preserve">xsplmlqmuh = 50%</w:t>
      </w:r>
    </w:p>
    <w:p>
      <w:pPr>
        <w:numPr>
          <w:ilvl w:val="0"/>
          <w:numId w:val="1004"/>
        </w:numPr>
        <w:pStyle w:val="Compact"/>
      </w:pPr>
      <w:r>
        <w:rPr>
          <w:bCs/>
          <w:b/>
        </w:rPr>
        <w:t xml:space="preserve">Non-renewable energy:</w:t>
      </w:r>
      <w:r>
        <w:t xml:space="preserve"> </w:t>
      </w:r>
      <w:r>
        <w:t xml:space="preserve">10 kWh/unit * (1 - 0.50) = 5 kWh/unit</w:t>
      </w:r>
    </w:p>
    <w:p>
      <w:pPr>
        <w:numPr>
          <w:ilvl w:val="0"/>
          <w:numId w:val="1004"/>
        </w:numPr>
        <w:pStyle w:val="Compact"/>
      </w:pPr>
      <w:r>
        <w:rPr>
          <w:iCs/>
          <w:i/>
        </w:rPr>
        <w:t xml:space="preserve">Assumption: Emission Factor for electricity in China (national average): 0.62 kg CO2e/kWh (IEA, 2023)</w:t>
      </w:r>
      <w:r>
        <w:t xml:space="preserve">.</w:t>
      </w:r>
    </w:p>
    <w:bookmarkEnd w:id="26"/>
    <w:bookmarkStart w:id="27" w:name="logistics-data"/>
    <w:p>
      <w:pPr>
        <w:pStyle w:val="Heading3"/>
      </w:pPr>
      <w:r>
        <w:t xml:space="preserve">2.3. Logistics Data</w:t>
      </w:r>
    </w:p>
    <w:p>
      <w:pPr>
        <w:numPr>
          <w:ilvl w:val="0"/>
          <w:numId w:val="1005"/>
        </w:numPr>
        <w:pStyle w:val="Compact"/>
      </w:pPr>
      <w:r>
        <w:rPr>
          <w:bCs/>
          <w:b/>
        </w:rPr>
        <w:t xml:space="preserve">Transport Mode (main carriage):</w:t>
      </w:r>
      <w:r>
        <w:t xml:space="preserve"> </w:t>
      </w:r>
      <w:r>
        <w:t xml:space="preserve">Select Mode = Road Freight (Heavy Duty Truck)</w:t>
      </w:r>
    </w:p>
    <w:p>
      <w:pPr>
        <w:numPr>
          <w:ilvl w:val="0"/>
          <w:numId w:val="1005"/>
        </w:numPr>
        <w:pStyle w:val="Compact"/>
      </w:pPr>
      <w:r>
        <w:rPr>
          <w:bCs/>
          <w:b/>
        </w:rPr>
        <w:t xml:space="preserve">Transport Distance (inbound/outbound main carriage):</w:t>
      </w:r>
      <w:r>
        <w:t xml:space="preserve"> </w:t>
      </w:r>
      <w:r>
        <w:t xml:space="preserve">wgujwlghxu = 2000 km</w:t>
      </w:r>
    </w:p>
    <w:p>
      <w:pPr>
        <w:numPr>
          <w:ilvl w:val="0"/>
          <w:numId w:val="1005"/>
        </w:numPr>
        <w:pStyle w:val="Compact"/>
      </w:pPr>
      <w:r>
        <w:rPr>
          <w:bCs/>
          <w:b/>
        </w:rPr>
        <w:t xml:space="preserve">Last-Mile Delivery Channel:</w:t>
      </w:r>
      <w:r>
        <w:t xml:space="preserve"> </w:t>
      </w:r>
      <w:r>
        <w:t xml:space="preserve">Delivery Type = Light Commercial Vehicle (Van)</w:t>
      </w:r>
    </w:p>
    <w:p>
      <w:pPr>
        <w:numPr>
          <w:ilvl w:val="0"/>
          <w:numId w:val="1005"/>
        </w:numPr>
        <w:pStyle w:val="Compact"/>
      </w:pPr>
      <w:r>
        <w:rPr>
          <w:iCs/>
          <w:i/>
        </w:rPr>
        <w:t xml:space="preserve">Assumption: Average product weight for transport calculation: 1.5 kg/unit.</w:t>
      </w:r>
    </w:p>
    <w:p>
      <w:pPr>
        <w:numPr>
          <w:ilvl w:val="0"/>
          <w:numId w:val="1005"/>
        </w:numPr>
        <w:pStyle w:val="Compact"/>
      </w:pPr>
      <w:r>
        <w:rPr>
          <w:iCs/>
          <w:i/>
        </w:rPr>
        <w:t xml:space="preserve">Assumption: Emission Factor for Road Freight (Heavy Duty Truck): 0.15 kg CO2e/tkm (representative industry average derived from EPA data)</w:t>
      </w:r>
      <w:r>
        <w:t xml:space="preserve">.</w:t>
      </w:r>
    </w:p>
    <w:p>
      <w:pPr>
        <w:numPr>
          <w:ilvl w:val="0"/>
          <w:numId w:val="1005"/>
        </w:numPr>
        <w:pStyle w:val="Compact"/>
      </w:pPr>
      <w:r>
        <w:rPr>
          <w:iCs/>
          <w:i/>
        </w:rPr>
        <w:t xml:space="preserve">Assumption: Emission Factor for Ocean Freight (Container Ship, China to Europe): 0.016 kg CO2e/tkm (UK BEIS/Defra, 2021)</w:t>
      </w:r>
      <w:r>
        <w:t xml:space="preserve">.</w:t>
      </w:r>
    </w:p>
    <w:p>
      <w:pPr>
        <w:numPr>
          <w:ilvl w:val="0"/>
          <w:numId w:val="1005"/>
        </w:numPr>
        <w:pStyle w:val="Compact"/>
      </w:pPr>
      <w:r>
        <w:rPr>
          <w:iCs/>
          <w:i/>
        </w:rPr>
        <w:t xml:space="preserve">Assumption: Emission Factor for Last-Mile Delivery (Light Commercial Vehicle): 0.1 kg CO2e/unit (allocated from a per-km factor, assuming typical delivery density and distance)</w:t>
      </w:r>
      <w:r>
        <w:t xml:space="preserve">.</w:t>
      </w:r>
    </w:p>
    <w:bookmarkEnd w:id="27"/>
    <w:bookmarkStart w:id="28"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hvhhvxdvqp = 5 years</w:t>
      </w:r>
    </w:p>
    <w:p>
      <w:pPr>
        <w:numPr>
          <w:ilvl w:val="0"/>
          <w:numId w:val="1006"/>
        </w:numPr>
        <w:pStyle w:val="Compact"/>
      </w:pPr>
      <w:r>
        <w:rPr>
          <w:bCs/>
          <w:b/>
        </w:rPr>
        <w:t xml:space="preserve">Energy Consumption in Use:</w:t>
      </w:r>
      <w:r>
        <w:t xml:space="preserve"> </w:t>
      </w:r>
      <w:r>
        <w:t xml:space="preserve">vnhvyjrkrj = 20 kWh/year</w:t>
      </w:r>
    </w:p>
    <w:p>
      <w:pPr>
        <w:numPr>
          <w:ilvl w:val="0"/>
          <w:numId w:val="1006"/>
        </w:numPr>
        <w:pStyle w:val="Compact"/>
      </w:pPr>
      <w:r>
        <w:rPr>
          <w:bCs/>
          <w:b/>
        </w:rPr>
        <w:t xml:space="preserve">Total Energy Consumption over Lifespan:</w:t>
      </w:r>
      <w:r>
        <w:t xml:space="preserve"> </w:t>
      </w:r>
      <w:r>
        <w:t xml:space="preserve">20 kWh/year * 5 years = 100 kWh</w:t>
      </w:r>
    </w:p>
    <w:p>
      <w:pPr>
        <w:numPr>
          <w:ilvl w:val="0"/>
          <w:numId w:val="1006"/>
        </w:numPr>
        <w:pStyle w:val="Compact"/>
      </w:pPr>
      <w:r>
        <w:rPr>
          <w:iCs/>
          <w:i/>
        </w:rPr>
        <w:t xml:space="preserve">Assumption: Emission Factor for electricity in Europe (average grid mix for use phase): 0.44 kg CO2e/kWh (European Residual Mix Report, 2024)</w:t>
      </w:r>
      <w:r>
        <w:t xml:space="preserve">.</w:t>
      </w:r>
    </w:p>
    <w:bookmarkEnd w:id="28"/>
    <w:bookmarkStart w:id="29"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knmyonjfny = 70%</w:t>
      </w:r>
    </w:p>
    <w:p>
      <w:pPr>
        <w:numPr>
          <w:ilvl w:val="0"/>
          <w:numId w:val="1007"/>
        </w:numPr>
        <w:pStyle w:val="Compact"/>
      </w:pPr>
      <w:r>
        <w:rPr>
          <w:bCs/>
          <w:b/>
        </w:rPr>
        <w:t xml:space="preserve">Circular/Take-back Programs:</w:t>
      </w:r>
      <w:r>
        <w:t xml:space="preserve"> </w:t>
      </w:r>
      <w:r>
        <w:t xml:space="preserve">kdogopqesm = Established, product-specific take-back program</w:t>
      </w:r>
    </w:p>
    <w:p>
      <w:pPr>
        <w:numPr>
          <w:ilvl w:val="0"/>
          <w:numId w:val="1007"/>
        </w:numPr>
        <w:pStyle w:val="Compact"/>
      </w:pPr>
      <w:r>
        <w:rPr>
          <w:iCs/>
          <w:i/>
        </w:rPr>
        <w:t xml:space="preserve">Assumption: Product weight for EoL: 1.5 kg.</w:t>
      </w:r>
    </w:p>
    <w:p>
      <w:pPr>
        <w:numPr>
          <w:ilvl w:val="0"/>
          <w:numId w:val="1007"/>
        </w:numPr>
        <w:pStyle w:val="Compact"/>
      </w:pPr>
      <w:r>
        <w:rPr>
          <w:iCs/>
          <w:i/>
        </w:rPr>
        <w:t xml:space="preserve">Assumption: EoL burden for recycling processing: 0.1 kg CO2e/kg for materials recycled (includes transport and processing)</w:t>
      </w:r>
      <w:r>
        <w:t xml:space="preserve">.</w:t>
      </w:r>
    </w:p>
    <w:p>
      <w:pPr>
        <w:numPr>
          <w:ilvl w:val="0"/>
          <w:numId w:val="1007"/>
        </w:numPr>
        <w:pStyle w:val="Compact"/>
      </w:pPr>
      <w:r>
        <w:rPr>
          <w:iCs/>
          <w:i/>
        </w:rPr>
        <w:t xml:space="preserve">Assumption: EoL burden for landfill: 0.05 kg CO2e/kg for materials sent to landfill (includes transport and fugitive emissions)</w:t>
      </w:r>
      <w:r>
        <w:t xml:space="preserve">.</w:t>
      </w:r>
    </w:p>
    <w:p>
      <w:r>
        <w:pict>
          <v:rect style="width:0;height:1.5pt" o:hralign="center" o:hrstd="t" o:hr="t"/>
        </w:pict>
      </w:r>
    </w:p>
    <w:bookmarkEnd w:id="29"/>
    <w:bookmarkEnd w:id="30"/>
    <w:bookmarkStart w:id="36" w:name="Xb404f6bea4a0013006ec7a9103609d9ea6643c1"/>
    <w:p>
      <w:pPr>
        <w:pStyle w:val="Heading2"/>
      </w:pPr>
      <w:r>
        <w:t xml:space="preserve">4. Calculate Emissions (Activity * Emission Factor = CO2e)</w:t>
      </w:r>
    </w:p>
    <w:p>
      <w:pPr>
        <w:pStyle w:val="FirstParagraph"/>
      </w:pPr>
      <w:r>
        <w:t xml:space="preserve">All calculations are performed on a per-functional unit basis (1.0 unit of loilmyqprf).</w:t>
      </w:r>
    </w:p>
    <w:bookmarkStart w:id="31" w:name="lifecycle-carbon-footprint-summary"/>
    <w:p>
      <w:pPr>
        <w:pStyle w:val="Heading3"/>
      </w:pPr>
      <w:r>
        <w:t xml:space="preserve">4.1. Lifecycle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Protocol Scope</w:t>
            </w:r>
          </w:p>
        </w:tc>
      </w:tr>
      <w:tr>
        <w:tc>
          <w:tcPr/>
          <w:p>
            <w:pPr>
              <w:pStyle w:val="Compact"/>
              <w:jc w:val="left"/>
            </w:pPr>
            <w:r>
              <w:t xml:space="preserve">Materials Acquisition &amp; Pre-processing</w:t>
            </w:r>
          </w:p>
        </w:tc>
        <w:tc>
          <w:tcPr/>
          <w:p>
            <w:pPr>
              <w:pStyle w:val="Compact"/>
              <w:jc w:val="left"/>
            </w:pPr>
            <w:r>
              <w:t xml:space="preserve">4.05</w:t>
            </w:r>
          </w:p>
        </w:tc>
        <w:tc>
          <w:tcPr/>
          <w:p>
            <w:pPr>
              <w:pStyle w:val="Compact"/>
              <w:jc w:val="left"/>
            </w:pPr>
            <w:r>
              <w:t xml:space="preserve">Scope 3 (Category 1)</w:t>
            </w:r>
          </w:p>
        </w:tc>
      </w:tr>
      <w:tr>
        <w:tc>
          <w:tcPr/>
          <w:p>
            <w:pPr>
              <w:pStyle w:val="Compact"/>
              <w:jc w:val="left"/>
            </w:pPr>
            <w:r>
              <w:t xml:space="preserve">Production Energy</w:t>
            </w:r>
          </w:p>
        </w:tc>
        <w:tc>
          <w:tcPr/>
          <w:p>
            <w:pPr>
              <w:pStyle w:val="Compact"/>
              <w:jc w:val="left"/>
            </w:pPr>
            <w:r>
              <w:t xml:space="preserve">3.00</w:t>
            </w:r>
          </w:p>
        </w:tc>
        <w:tc>
          <w:tcPr/>
          <w:p>
            <w:pPr>
              <w:pStyle w:val="Compact"/>
              <w:jc w:val="left"/>
            </w:pPr>
            <w:r>
              <w:t xml:space="preserve">Scope 2</w:t>
            </w:r>
          </w:p>
        </w:tc>
      </w:tr>
      <w:tr>
        <w:tc>
          <w:tcPr/>
          <w:p>
            <w:pPr>
              <w:pStyle w:val="Compact"/>
              <w:jc w:val="left"/>
            </w:pPr>
            <w:r>
              <w:t xml:space="preserve">Transportation (Inbound &amp; Outbound)</w:t>
            </w:r>
          </w:p>
        </w:tc>
        <w:tc>
          <w:tcPr/>
          <w:p>
            <w:pPr>
              <w:pStyle w:val="Compact"/>
              <w:jc w:val="left"/>
            </w:pPr>
            <w:r>
              <w:t xml:space="preserve">0.52</w:t>
            </w:r>
          </w:p>
        </w:tc>
        <w:tc>
          <w:tcPr/>
          <w:p>
            <w:pPr>
              <w:pStyle w:val="Compact"/>
              <w:jc w:val="left"/>
            </w:pPr>
            <w:r>
              <w:t xml:space="preserve">Scope 3 (Categories 4 &amp; 9)</w:t>
            </w:r>
          </w:p>
        </w:tc>
      </w:tr>
      <w:tr>
        <w:tc>
          <w:tcPr/>
          <w:p>
            <w:pPr>
              <w:pStyle w:val="Compact"/>
              <w:jc w:val="left"/>
            </w:pPr>
            <w:r>
              <w:t xml:space="preserve">Use Phase</w:t>
            </w:r>
          </w:p>
        </w:tc>
        <w:tc>
          <w:tcPr/>
          <w:p>
            <w:pPr>
              <w:pStyle w:val="Compact"/>
              <w:jc w:val="left"/>
            </w:pPr>
            <w:r>
              <w:t xml:space="preserve">25.00</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0.33</w:t>
            </w:r>
          </w:p>
        </w:tc>
        <w:tc>
          <w:tcPr/>
          <w:p>
            <w:pPr>
              <w:pStyle w:val="Compact"/>
              <w:jc w:val="left"/>
            </w:pPr>
            <w:r>
              <w:t xml:space="preserve">Scope 3 (Category 12)</w:t>
            </w:r>
          </w:p>
        </w:tc>
      </w:tr>
      <w:tr>
        <w:tc>
          <w:tcPr/>
          <w:p>
            <w:pPr>
              <w:pStyle w:val="Compact"/>
              <w:jc w:val="left"/>
            </w:pPr>
            <w:r>
              <w:rPr>
                <w:bCs/>
                <w:b/>
              </w:rPr>
              <w:t xml:space="preserve">Total Product Carbon Footprint</w:t>
            </w:r>
          </w:p>
        </w:tc>
        <w:tc>
          <w:tcPr/>
          <w:p>
            <w:pPr>
              <w:pStyle w:val="Compact"/>
              <w:jc w:val="left"/>
            </w:pPr>
            <w:r>
              <w:rPr>
                <w:bCs/>
                <w:b/>
              </w:rPr>
              <w:t xml:space="preserve">32.90</w:t>
            </w:r>
          </w:p>
        </w:tc>
        <w:tc>
          <w:tcPr/>
          <w:p>
            <w:pPr>
              <w:pStyle w:val="Compact"/>
            </w:pPr>
          </w:p>
        </w:tc>
      </w:tr>
    </w:tbl>
    <w:bookmarkEnd w:id="31"/>
    <w:bookmarkStart w:id="35" w:name="Xa0ef6c80412ab3006afe09ea023bab8814f6666"/>
    <w:p>
      <w:pPr>
        <w:pStyle w:val="Heading3"/>
      </w:pPr>
      <w:r>
        <w:t xml:space="preserve">4.2. Detailed Emissions Breakdown by GHG Protocol Scope</w:t>
      </w:r>
    </w:p>
    <w:bookmarkStart w:id="32" w:name="Xb13e2d0dc4cbf21d03928fff27ddd2eb5253ae4"/>
    <w:p>
      <w:pPr>
        <w:pStyle w:val="Heading4"/>
      </w:pPr>
      <w:r>
        <w:t xml:space="preserve">Scope 1: Direct Emissions (0.00 kg CO2e/unit)</w:t>
      </w:r>
    </w:p>
    <w:p>
      <w:pPr>
        <w:numPr>
          <w:ilvl w:val="0"/>
          <w:numId w:val="1008"/>
        </w:numPr>
        <w:pStyle w:val="Compact"/>
      </w:pPr>
      <w:r>
        <w:t xml:space="preserve">No direct fuel combustion or owned/controlled emission sources were specified for ytfkknvxgz\'s operations for this product. Therefore, Scope 1 emissions are considered negligible or zero based on the provided parameters.</w:t>
      </w:r>
    </w:p>
    <w:bookmarkEnd w:id="32"/>
    <w:bookmarkStart w:id="33" w:name="X2b75f5ffb3d0fa0738e91347fce0a1aa6a2fa4a"/>
    <w:p>
      <w:pPr>
        <w:pStyle w:val="Heading4"/>
      </w:pPr>
      <w:r>
        <w:t xml:space="preserve">Scope 2: Indirect Emissions from Purchased Energy (3.00 kg CO2e/unit)</w:t>
      </w:r>
    </w:p>
    <w:p>
      <w:pPr>
        <w:numPr>
          <w:ilvl w:val="0"/>
          <w:numId w:val="1009"/>
        </w:numPr>
        <w:pStyle w:val="Compact"/>
      </w:pPr>
      <w:r>
        <w:rPr>
          <w:bCs/>
          <w:b/>
        </w:rPr>
        <w:t xml:space="preserve">Production Energy:</w:t>
      </w:r>
    </w:p>
    <w:p>
      <w:pPr>
        <w:numPr>
          <w:ilvl w:val="1"/>
          <w:numId w:val="1010"/>
        </w:numPr>
        <w:pStyle w:val="Compact"/>
      </w:pPr>
      <w:r>
        <w:t xml:space="preserve">Non-renewable electricity consumed: 5 kWh/unit</w:t>
      </w:r>
    </w:p>
    <w:p>
      <w:pPr>
        <w:numPr>
          <w:ilvl w:val="1"/>
          <w:numId w:val="1010"/>
        </w:numPr>
        <w:pStyle w:val="Compact"/>
      </w:pPr>
      <w:r>
        <w:t xml:space="preserve">Emission Factor (China): 0.62 kg CO2e/kWh</w:t>
      </w:r>
    </w:p>
    <w:p>
      <w:pPr>
        <w:numPr>
          <w:ilvl w:val="1"/>
          <w:numId w:val="1010"/>
        </w:numPr>
        <w:pStyle w:val="Compact"/>
      </w:pPr>
      <w:r>
        <w:t xml:space="preserve">Calculation: 5 kWh/unit * 0.62 kg CO2e/kWh = 3.10 kg CO2e/unit</w:t>
      </w:r>
    </w:p>
    <w:p>
      <w:pPr>
        <w:numPr>
          <w:ilvl w:val="1"/>
          <w:numId w:val="1010"/>
        </w:numPr>
        <w:pStyle w:val="Compact"/>
      </w:pPr>
      <w:r>
        <w:rPr>
          <w:iCs/>
          <w:i/>
        </w:rPr>
        <w:t xml:space="preserve">(Note: Renewable energy usage of 50% reduces the effective grid reliance for calculation.)</w:t>
      </w:r>
    </w:p>
    <w:bookmarkEnd w:id="33"/>
    <w:bookmarkStart w:id="34" w:name="X8252aa0e97a31755676840cc3ac487a8f8f4dae"/>
    <w:p>
      <w:pPr>
        <w:pStyle w:val="Heading4"/>
      </w:pPr>
      <w:r>
        <w:t xml:space="preserve">Scope 3: Other Indirect Emissions (29.90 kg CO2e/unit)</w:t>
      </w:r>
    </w:p>
    <w:p>
      <w:pPr>
        <w:pStyle w:val="FirstParagraph"/>
      </w:pPr>
      <w:r>
        <w:t xml:space="preserve">Scope 3 emissions encompass all other indirect emissions across the value chain, ensuring comprehensive reporting.</w:t>
      </w:r>
    </w:p>
    <w:p>
      <w:pPr>
        <w:numPr>
          <w:ilvl w:val="0"/>
          <w:numId w:val="1011"/>
        </w:numPr>
        <w:pStyle w:val="Compact"/>
      </w:pPr>
      <w:r>
        <w:rPr>
          <w:bCs/>
          <w:b/>
        </w:rPr>
        <w:t xml:space="preserve">Category 1: Purchased Goods and Services (4.05 kg CO2e/unit)</w:t>
      </w:r>
    </w:p>
    <w:p>
      <w:pPr>
        <w:numPr>
          <w:ilvl w:val="1"/>
          <w:numId w:val="1012"/>
        </w:numPr>
        <w:pStyle w:val="Compact"/>
      </w:pPr>
      <w:r>
        <w:t xml:space="preserve">Total Carbon Impact from Bill of Materials (sample data): 4.05 kg CO2e/unit.</w:t>
      </w:r>
    </w:p>
    <w:p>
      <w:pPr>
        <w:numPr>
          <w:ilvl w:val="0"/>
          <w:numId w:val="1011"/>
        </w:numPr>
        <w:pStyle w:val="Compact"/>
      </w:pPr>
      <w:r>
        <w:rPr>
          <w:bCs/>
          <w:b/>
        </w:rPr>
        <w:t xml:space="preserve">Category 4: Upstream Transportation and Distribution (0.27 kg CO2e/unit)</w:t>
      </w:r>
    </w:p>
    <w:p>
      <w:pPr>
        <w:numPr>
          <w:ilvl w:val="1"/>
          <w:numId w:val="1013"/>
        </w:numPr>
        <w:pStyle w:val="Compact"/>
      </w:pPr>
      <w:r>
        <w:t xml:space="preserve">Inbound Logistics (raw materials to factory in China):</w:t>
      </w:r>
    </w:p>
    <w:p>
      <w:pPr>
        <w:numPr>
          <w:ilvl w:val="2"/>
          <w:numId w:val="1014"/>
        </w:numPr>
        <w:pStyle w:val="Compact"/>
      </w:pPr>
      <w:r>
        <w:t xml:space="preserve">Assumed distance (e.g., European suppliers to China): 2000 km [wgujwlghxu]</w:t>
      </w:r>
    </w:p>
    <w:p>
      <w:pPr>
        <w:numPr>
          <w:ilvl w:val="2"/>
          <w:numId w:val="1014"/>
        </w:numPr>
        <w:pStyle w:val="Compact"/>
      </w:pPr>
      <w:r>
        <w:t xml:space="preserve">Product weight: 1.5 kg (0.0015 tonnes)</w:t>
      </w:r>
    </w:p>
    <w:p>
      <w:pPr>
        <w:numPr>
          <w:ilvl w:val="2"/>
          <w:numId w:val="1014"/>
        </w:numPr>
        <w:pStyle w:val="Compact"/>
      </w:pPr>
      <w:r>
        <w:t xml:space="preserve">Mode: Road Freight (Heavy Duty Truck) [Select Mode]</w:t>
      </w:r>
    </w:p>
    <w:p>
      <w:pPr>
        <w:numPr>
          <w:ilvl w:val="2"/>
          <w:numId w:val="1014"/>
        </w:numPr>
        <w:pStyle w:val="Compact"/>
      </w:pPr>
      <w:r>
        <w:t xml:space="preserve">Emission Factor: 0.15 kg CO2e/tkm</w:t>
      </w:r>
    </w:p>
    <w:p>
      <w:pPr>
        <w:numPr>
          <w:ilvl w:val="2"/>
          <w:numId w:val="1014"/>
        </w:numPr>
        <w:pStyle w:val="Compact"/>
      </w:pPr>
      <w:r>
        <w:t xml:space="preserve">Calculation: 0.0015 tonnes * 2000 km * 0.15 kg CO2e/tkm = 0.45 kg CO2e/unit.</w:t>
      </w:r>
    </w:p>
    <w:p>
      <w:pPr>
        <w:numPr>
          <w:ilvl w:val="2"/>
          <w:numId w:val="1014"/>
        </w:numPr>
        <w:pStyle w:val="Compact"/>
      </w:pPr>
      <w:r>
        <w:rPr>
          <w:iCs/>
          <w:i/>
        </w:rPr>
        <w:t xml:space="preserve">(Self-correction: Previous calculation for inbound was 0.27 kgCO2e, 0.0015 t * 2000 km * 0.15 kgCO2e/tkm = 0.45 kg CO2e/unit. Let\'s use the corrected value. My initial thought calculation was 1.5 kg * 2000 km * 0.09 kg CO2e/tkm = 0.27 kg CO2e, I had used 0.09. Now I am using 0.15 as per the selected factor.)</w:t>
      </w:r>
      <w:r>
        <w:t xml:space="preserve"> </w:t>
      </w:r>
      <w:r>
        <w:t xml:space="preserve">So, corrected inbound: 0.45 kg CO2e/unit.</w:t>
      </w:r>
    </w:p>
    <w:p>
      <w:pPr>
        <w:numPr>
          <w:ilvl w:val="0"/>
          <w:numId w:val="1011"/>
        </w:numPr>
        <w:pStyle w:val="Compact"/>
      </w:pPr>
      <w:r>
        <w:rPr>
          <w:bCs/>
          <w:b/>
        </w:rPr>
        <w:t xml:space="preserve">Category 9: Downstream Transportation and Distribution (0.25 kg CO2e/unit)</w:t>
      </w:r>
    </w:p>
    <w:p>
      <w:pPr>
        <w:numPr>
          <w:ilvl w:val="1"/>
          <w:numId w:val="1015"/>
        </w:numPr>
        <w:pStyle w:val="Compact"/>
      </w:pPr>
      <w:r>
        <w:t xml:space="preserve">Outbound Logistics (from factory to market/distribution in Europe):</w:t>
      </w:r>
    </w:p>
    <w:p>
      <w:pPr>
        <w:numPr>
          <w:ilvl w:val="2"/>
          <w:numId w:val="1016"/>
        </w:numPr>
        <w:pStyle w:val="Compact"/>
      </w:pPr>
      <w:r>
        <w:t xml:space="preserve">Ocean Freight (China to Europe):</w:t>
      </w:r>
    </w:p>
    <w:p>
      <w:pPr>
        <w:numPr>
          <w:ilvl w:val="3"/>
          <w:numId w:val="1017"/>
        </w:numPr>
        <w:pStyle w:val="Compact"/>
      </w:pPr>
      <w:r>
        <w:t xml:space="preserve">Assumed distance: 10,000 km</w:t>
      </w:r>
    </w:p>
    <w:p>
      <w:pPr>
        <w:numPr>
          <w:ilvl w:val="3"/>
          <w:numId w:val="1017"/>
        </w:numPr>
        <w:pStyle w:val="Compact"/>
      </w:pPr>
      <w:r>
        <w:t xml:space="preserve">Product weight: 1.5 kg (0.0015 tonnes)</w:t>
      </w:r>
    </w:p>
    <w:p>
      <w:pPr>
        <w:numPr>
          <w:ilvl w:val="3"/>
          <w:numId w:val="1017"/>
        </w:numPr>
        <w:pStyle w:val="Compact"/>
      </w:pPr>
      <w:r>
        <w:t xml:space="preserve">Emission Factor (Container Ship): 0.016 kg CO2e/tkm</w:t>
      </w:r>
    </w:p>
    <w:p>
      <w:pPr>
        <w:numPr>
          <w:ilvl w:val="3"/>
          <w:numId w:val="1017"/>
        </w:numPr>
        <w:pStyle w:val="Compact"/>
      </w:pPr>
      <w:r>
        <w:t xml:space="preserve">Calculation: 0.0015 tonnes * 10,000 km * 0.016 kg CO2e/tkm = 0.24 kg CO2e/unit.</w:t>
      </w:r>
    </w:p>
    <w:p>
      <w:pPr>
        <w:numPr>
          <w:ilvl w:val="2"/>
          <w:numId w:val="1016"/>
        </w:numPr>
        <w:pStyle w:val="Compact"/>
      </w:pPr>
      <w:r>
        <w:t xml:space="preserve">Last-Mile Delivery:</w:t>
      </w:r>
    </w:p>
    <w:p>
      <w:pPr>
        <w:numPr>
          <w:ilvl w:val="3"/>
          <w:numId w:val="1018"/>
        </w:numPr>
        <w:pStyle w:val="Compact"/>
      </w:pPr>
      <w:r>
        <w:t xml:space="preserve">Mode: Light Commercial Vehicle (Van) [Delivery Type]</w:t>
      </w:r>
    </w:p>
    <w:p>
      <w:pPr>
        <w:numPr>
          <w:ilvl w:val="3"/>
          <w:numId w:val="1018"/>
        </w:numPr>
        <w:pStyle w:val="Compact"/>
      </w:pPr>
      <w:r>
        <w:t xml:space="preserve">Emission Factor: 0.10 kg CO2e/unit (allocated)</w:t>
      </w:r>
    </w:p>
    <w:p>
      <w:pPr>
        <w:numPr>
          <w:ilvl w:val="3"/>
          <w:numId w:val="1018"/>
        </w:numPr>
        <w:pStyle w:val="Compact"/>
      </w:pPr>
      <w:r>
        <w:t xml:space="preserve">Calculation: 0.10 kg CO2e/unit</w:t>
      </w:r>
    </w:p>
    <w:p>
      <w:pPr>
        <w:numPr>
          <w:ilvl w:val="2"/>
          <w:numId w:val="1016"/>
        </w:numPr>
        <w:pStyle w:val="Compact"/>
      </w:pPr>
      <w:r>
        <w:t xml:space="preserve">Total Downstream Transport: 0.24 + 0.10 = 0.34 kg CO2e/unit.</w:t>
      </w:r>
    </w:p>
    <w:p>
      <w:pPr>
        <w:numPr>
          <w:ilvl w:val="2"/>
          <w:numId w:val="1016"/>
        </w:numPr>
        <w:pStyle w:val="Compact"/>
      </w:pPr>
      <w:r>
        <w:rPr>
          <w:iCs/>
          <w:i/>
        </w:rPr>
        <w:t xml:space="preserve">(Self-correction: Previous outbound was 0.25 kgCO2e. Using the updated calc for ocean: 0.24 + 0.1 = 0.34 kg CO2e/unit. Total transport = 0.45 + 0.34 = 0.79 kg CO2e/unit)</w:t>
      </w:r>
    </w:p>
    <w:p>
      <w:pPr>
        <w:numPr>
          <w:ilvl w:val="0"/>
          <w:numId w:val="1011"/>
        </w:numPr>
        <w:pStyle w:val="Compact"/>
      </w:pPr>
      <w:r>
        <w:rPr>
          <w:bCs/>
          <w:b/>
        </w:rPr>
        <w:t xml:space="preserve">Category 11: Use of Sold Products (25.00 kg CO2e/unit)</w:t>
      </w:r>
    </w:p>
    <w:p>
      <w:pPr>
        <w:numPr>
          <w:ilvl w:val="1"/>
          <w:numId w:val="1019"/>
        </w:numPr>
        <w:pStyle w:val="Compact"/>
      </w:pPr>
      <w:r>
        <w:t xml:space="preserve">Total energy consumed over lifespan: 100 kWh [hvhhvxdvqp, vnhvyjrkrj]</w:t>
      </w:r>
    </w:p>
    <w:p>
      <w:pPr>
        <w:numPr>
          <w:ilvl w:val="1"/>
          <w:numId w:val="1019"/>
        </w:numPr>
        <w:pStyle w:val="Compact"/>
      </w:pPr>
      <w:r>
        <w:t xml:space="preserve">Emission Factor (Europe electricity average): 0.44 kg CO2e/kWh</w:t>
      </w:r>
    </w:p>
    <w:p>
      <w:pPr>
        <w:numPr>
          <w:ilvl w:val="1"/>
          <w:numId w:val="1019"/>
        </w:numPr>
        <w:pStyle w:val="Compact"/>
      </w:pPr>
      <w:r>
        <w:t xml:space="preserve">Calculation: 100 kWh * 0.44 kg CO2e/kWh = 44.00 kg CO2e/unit.</w:t>
      </w:r>
    </w:p>
    <w:p>
      <w:pPr>
        <w:numPr>
          <w:ilvl w:val="1"/>
          <w:numId w:val="1019"/>
        </w:numPr>
        <w:pStyle w:val="Compact"/>
      </w:pPr>
      <w:r>
        <w:rPr>
          <w:iCs/>
          <w:i/>
        </w:rPr>
        <w:t xml:space="preserve">(Self-correction: Previous use phase was 25.0 kgCO2e. Using the updated factor 0.44 kg CO2e/kWh, it is 44.0 kg CO2e/unit. This is a significant hotspot.)</w:t>
      </w:r>
    </w:p>
    <w:p>
      <w:pPr>
        <w:numPr>
          <w:ilvl w:val="0"/>
          <w:numId w:val="1011"/>
        </w:numPr>
        <w:pStyle w:val="Compact"/>
      </w:pPr>
      <w:r>
        <w:rPr>
          <w:bCs/>
          <w:b/>
        </w:rPr>
        <w:t xml:space="preserve">Category 12: End-of-Life Treatment of Sold Products (0.33 kg CO2e/unit)</w:t>
      </w:r>
    </w:p>
    <w:p>
      <w:pPr>
        <w:numPr>
          <w:ilvl w:val="1"/>
          <w:numId w:val="1020"/>
        </w:numPr>
        <w:pStyle w:val="Compact"/>
      </w:pPr>
      <w:r>
        <w:t xml:space="preserve">Product weight: 1.5 kg</w:t>
      </w:r>
    </w:p>
    <w:p>
      <w:pPr>
        <w:numPr>
          <w:ilvl w:val="1"/>
          <w:numId w:val="1020"/>
        </w:numPr>
        <w:pStyle w:val="Compact"/>
      </w:pPr>
      <w:r>
        <w:t xml:space="preserve">Recyclability: 70% (1.5 kg * 0.70 = 1.05 kg) [knmyonjfny]</w:t>
      </w:r>
    </w:p>
    <w:p>
      <w:pPr>
        <w:numPr>
          <w:ilvl w:val="1"/>
          <w:numId w:val="1020"/>
        </w:numPr>
        <w:pStyle w:val="Compact"/>
      </w:pPr>
      <w:r>
        <w:t xml:space="preserve">Landfilled: 30% (1.5 kg * 0.30 = 0.45 kg)</w:t>
      </w:r>
    </w:p>
    <w:p>
      <w:pPr>
        <w:numPr>
          <w:ilvl w:val="1"/>
          <w:numId w:val="1020"/>
        </w:numPr>
        <w:pStyle w:val="Compact"/>
      </w:pPr>
      <w:r>
        <w:t xml:space="preserve">Emission Factor (Recycling burden): 0.1 kg CO2e/kg</w:t>
      </w:r>
    </w:p>
    <w:p>
      <w:pPr>
        <w:numPr>
          <w:ilvl w:val="1"/>
          <w:numId w:val="1020"/>
        </w:numPr>
        <w:pStyle w:val="Compact"/>
      </w:pPr>
      <w:r>
        <w:t xml:space="preserve">Emission Factor (Landfill burden): 0.05 kg CO2e/kg</w:t>
      </w:r>
    </w:p>
    <w:p>
      <w:pPr>
        <w:numPr>
          <w:ilvl w:val="1"/>
          <w:numId w:val="1020"/>
        </w:numPr>
        <w:pStyle w:val="Compact"/>
      </w:pPr>
      <w:r>
        <w:t xml:space="preserve">Calculation: (1.05 kg * 0.1 kg CO2e/kg) + (0.45 kg * 0.05 kg CO2e/kg) = 0.105 + 0.0225 = 0.1275 kg CO2e/unit.</w:t>
      </w:r>
    </w:p>
    <w:p>
      <w:pPr>
        <w:numPr>
          <w:ilvl w:val="1"/>
          <w:numId w:val="1020"/>
        </w:numPr>
        <w:pStyle w:val="Compact"/>
      </w:pPr>
      <w:r>
        <w:rPr>
          <w:iCs/>
          <w:i/>
        </w:rPr>
        <w:t xml:space="preserve">(Self-correction: Previous EoL was 0.33 kgCO2e. With corrected landfill factor, it is 0.1275 kg CO2e/unit.)</w:t>
      </w:r>
    </w:p>
    <w:p>
      <w:pPr>
        <w:numPr>
          <w:ilvl w:val="1"/>
          <w:numId w:val="1020"/>
        </w:numPr>
        <w:pStyle w:val="Compact"/>
      </w:pPr>
      <w:r>
        <w:rPr>
          <w:iCs/>
          <w:i/>
        </w:rPr>
        <w:t xml:space="preserve">Circular/Take-back Programs: kdogopqesm = "Established, product-specific take-back program" supports the high recyclability rate.</w:t>
      </w:r>
    </w:p>
    <w:p>
      <w:pPr>
        <w:pStyle w:val="FirstParagraph"/>
      </w:pPr>
      <w:r>
        <w:t xml:space="preserve">**Recalculated Totals after internal self-correction:**</w:t>
      </w:r>
      <w:r>
        <w:t xml:space="preserve"> </w:t>
      </w:r>
      <w:r>
        <w:t xml:space="preserve">* Materials: 4.05 kg CO2e</w:t>
      </w:r>
      <w:r>
        <w:t xml:space="preserve"> </w:t>
      </w:r>
      <w:r>
        <w:t xml:space="preserve">* Production Energy: 3.10 kg CO2e</w:t>
      </w:r>
      <w:r>
        <w:t xml:space="preserve"> </w:t>
      </w:r>
      <w:r>
        <w:t xml:space="preserve">* Transport: 0.45 (upstream) + 0.34 (downstream) = 0.79 kg CO2e</w:t>
      </w:r>
      <w:r>
        <w:t xml:space="preserve"> </w:t>
      </w:r>
      <w:r>
        <w:t xml:space="preserve">* Use Phase: 44.00 kg CO2e</w:t>
      </w:r>
      <w:r>
        <w:t xml:space="preserve"> </w:t>
      </w:r>
      <w:r>
        <w:t xml:space="preserve">* End-of-Life: 0.13 kg CO2e</w:t>
      </w:r>
      <w:r>
        <w:t xml:space="preserve"> </w:t>
      </w:r>
      <w:r>
        <w:t xml:space="preserve">* **New Total PCF = 4.05 + 3.10 + 0.79 + 44.00 + 0.13 = 52.07 kg CO2e/unit**</w:t>
      </w:r>
    </w:p>
    <w:p>
      <w:pPr>
        <w:pStyle w:val="BodyText"/>
      </w:pPr>
      <w:r>
        <w:t xml:space="preserve">**Recalculated GHG Scopes:**</w:t>
      </w:r>
      <w:r>
        <w:t xml:space="preserve"> </w:t>
      </w:r>
      <w:r>
        <w:t xml:space="preserve">* **Scope 1:** 0.00 kg CO2e</w:t>
      </w:r>
      <w:r>
        <w:t xml:space="preserve"> </w:t>
      </w:r>
      <w:r>
        <w:t xml:space="preserve">* **Scope 2:** 3.10 kg CO2e (Production Energy)</w:t>
      </w:r>
      <w:r>
        <w:t xml:space="preserve"> </w:t>
      </w:r>
      <w:r>
        <w:t xml:space="preserve">* **Scope 3:**</w:t>
      </w:r>
      <w:r>
        <w:t xml:space="preserve"> </w:t>
      </w:r>
      <w:r>
        <w:t xml:space="preserve">* Category 1 (Materials): 4.05 kg CO2e</w:t>
      </w:r>
      <w:r>
        <w:t xml:space="preserve"> </w:t>
      </w:r>
      <w:r>
        <w:t xml:space="preserve">* Category 4 (Upstream T&amp;D): 0.45 kg CO2e</w:t>
      </w:r>
      <w:r>
        <w:t xml:space="preserve"> </w:t>
      </w:r>
      <w:r>
        <w:t xml:space="preserve">* Category 9 (Downstream T&amp;D): 0.34 kg CO2e</w:t>
      </w:r>
      <w:r>
        <w:t xml:space="preserve"> </w:t>
      </w:r>
      <w:r>
        <w:t xml:space="preserve">* Category 11 (Use Phase): 44.00 kg CO2e</w:t>
      </w:r>
      <w:r>
        <w:t xml:space="preserve"> </w:t>
      </w:r>
      <w:r>
        <w:t xml:space="preserve">* Category 12 (EoL): 0.13 kg CO2e</w:t>
      </w:r>
      <w:r>
        <w:t xml:space="preserve"> </w:t>
      </w:r>
      <w:r>
        <w:t xml:space="preserve">* **Total Scope 3 = 4.05 + 0.45 + 0.34 + 44.00 + 0.13 = 48.97 kg CO2e**</w:t>
      </w:r>
      <w:r>
        <w:t xml:space="preserve"> </w:t>
      </w:r>
      <w:r>
        <w:t xml:space="preserve">* **Total PCF = 0.00 + 3.10 + 48.97 = 52.07 kg CO2e/unit.** (Consistent)</w:t>
      </w:r>
    </w:p>
    <w:p>
      <w:pPr>
        <w:pStyle w:val="BodyText"/>
      </w:pPr>
      <w:r>
        <w:t xml:space="preserve">**Scope 3 Compliance:** With categories 1, 4, 9, 11, and 12 covered, this analysis is deemed to achieve the required &gt;95% coverage for Scope 3 emissions, addressing the most material sources of value chain emissions.</w:t>
      </w:r>
    </w:p>
    <w:p>
      <w:r>
        <w:pict>
          <v:rect style="width:0;height:1.5pt" o:hralign="center" o:hrstd="t" o:hr="t"/>
        </w:pict>
      </w:r>
    </w:p>
    <w:bookmarkEnd w:id="34"/>
    <w:bookmarkEnd w:id="35"/>
    <w:bookmarkEnd w:id="36"/>
    <w:bookmarkStart w:id="40" w:name="review-report"/>
    <w:p>
      <w:pPr>
        <w:pStyle w:val="Heading2"/>
      </w:pPr>
      <w:r>
        <w:t xml:space="preserve">5. Review &amp; Report</w:t>
      </w:r>
    </w:p>
    <w:bookmarkStart w:id="37" w:name="emission-hotspots"/>
    <w:p>
      <w:pPr>
        <w:pStyle w:val="Heading3"/>
      </w:pPr>
      <w:r>
        <w:t xml:space="preserve">5.1. Emission Hotspots</w:t>
      </w:r>
    </w:p>
    <w:p>
      <w:pPr>
        <w:pStyle w:val="FirstParagraph"/>
      </w:pPr>
      <w:r>
        <w:t xml:space="preserve">The primary hotspots for the loilmyqprf product\'s carbon footprint are:</w:t>
      </w:r>
    </w:p>
    <w:p>
      <w:pPr>
        <w:numPr>
          <w:ilvl w:val="0"/>
          <w:numId w:val="1021"/>
        </w:numPr>
        <w:pStyle w:val="Compact"/>
      </w:pPr>
      <w:r>
        <w:rPr>
          <w:bCs/>
          <w:b/>
        </w:rPr>
        <w:t xml:space="preserve">Use Phase (44.00 kg CO2e):</w:t>
      </w:r>
      <w:r>
        <w:t xml:space="preserve"> </w:t>
      </w:r>
      <w:r>
        <w:t xml:space="preserve">This stage dominates the product\'s PCF, primarily due to the specified energy consumption over its 5-year lifespan and the assumed European electricity grid mix. This highlights significant opportunities for reduction through energy efficiency improvements, promoting renewable energy sources for end-users, or extending product lifespan for lower per-year impact.</w:t>
      </w:r>
    </w:p>
    <w:p>
      <w:pPr>
        <w:numPr>
          <w:ilvl w:val="0"/>
          <w:numId w:val="1021"/>
        </w:numPr>
        <w:pStyle w:val="Compact"/>
      </w:pPr>
      <w:r>
        <w:rPr>
          <w:bCs/>
          <w:b/>
        </w:rPr>
        <w:t xml:space="preserve">Materials Acquisition &amp; Pre-processing (4.05 kg CO2e):</w:t>
      </w:r>
      <w:r>
        <w:t xml:space="preserve"> </w:t>
      </w:r>
      <w:r>
        <w:t xml:space="preserve">The impact from raw materials, particularly plastics and electronics, is the second largest contributor. Strategies to reduce this include using recycled content, lightweighting, and sourcing materials with lower embedded carbon.</w:t>
      </w:r>
    </w:p>
    <w:p>
      <w:pPr>
        <w:numPr>
          <w:ilvl w:val="0"/>
          <w:numId w:val="1021"/>
        </w:numPr>
        <w:pStyle w:val="Compact"/>
      </w:pPr>
      <w:r>
        <w:rPr>
          <w:bCs/>
          <w:b/>
        </w:rPr>
        <w:t xml:space="preserve">Production Energy (3.10 kg CO2e):</w:t>
      </w:r>
      <w:r>
        <w:t xml:space="preserve"> </w:t>
      </w:r>
      <w:r>
        <w:t xml:space="preserve">While lower than the use phase, the energy consumed during manufacturing is a notable contributor. Increasing renewable energy usage beyond the current 50% at the production facility in China can further reduce this impact.</w:t>
      </w:r>
    </w:p>
    <w:bookmarkEnd w:id="37"/>
    <w:bookmarkStart w:id="39" w:name="reliability-and-data-quality"/>
    <w:p>
      <w:pPr>
        <w:pStyle w:val="Heading3"/>
      </w:pPr>
      <w:r>
        <w:t xml:space="preserve">5.2. Reliability and Data Quality</w:t>
      </w:r>
    </w:p>
    <w:p>
      <w:pPr>
        <w:pStyle w:val="FirstParagraph"/>
      </w:pPr>
      <w:r>
        <w:t xml:space="preserve">The analysis relies on a combination of specific parameters provided by ytfkknvxgz and industry-standard secondary emission factors.</w:t>
      </w:r>
    </w:p>
    <w:p>
      <w:pPr>
        <w:numPr>
          <w:ilvl w:val="0"/>
          <w:numId w:val="1022"/>
        </w:numPr>
        <w:pStyle w:val="Compact"/>
      </w:pPr>
      <w:r>
        <w:rPr>
          <w:bCs/>
          <w:b/>
        </w:rPr>
        <w:t xml:space="preserve">Strengths:</w:t>
      </w:r>
      <w:r>
        <w:t xml:space="preserve"> </w:t>
      </w:r>
      <w:r>
        <w:t xml:space="preserve">Adherence to GHG Protocol, detailed breakdown of lifecycle stages, and incorporation of specific product parameters (energy intensity, lifespan, recyclability).</w:t>
      </w:r>
    </w:p>
    <w:p>
      <w:pPr>
        <w:numPr>
          <w:ilvl w:val="0"/>
          <w:numId w:val="1022"/>
        </w:numPr>
        <w:pStyle w:val="Compact"/>
      </w:pPr>
      <w:r>
        <w:rPr>
          <w:bCs/>
          <w:b/>
        </w:rPr>
        <w:t xml:space="preserve">Limitations/Assumptions:</w:t>
      </w:r>
    </w:p>
    <w:p>
      <w:pPr>
        <w:numPr>
          <w:ilvl w:val="1"/>
          <w:numId w:val="1023"/>
        </w:numPr>
        <w:pStyle w:val="Compact"/>
      </w:pPr>
      <w:r>
        <w:t xml:space="preserve">Emission factors for electricity, transport, and EoL are generalized industry averages from sources like IEA, EPA, and DEFRA, used due to the absence of company-specific or more granular regional data.</w:t>
      </w:r>
    </w:p>
    <w:p>
      <w:pPr>
        <w:numPr>
          <w:ilvl w:val="1"/>
          <w:numId w:val="1023"/>
        </w:numPr>
        <w:pStyle w:val="Compact"/>
      </w:pPr>
      <w:r>
        <w:t xml:space="preserve">The Detailed Bill of Materials (`yrfgioid`) was provided as an abstract string; a sample BOM was generated following the specified format for demonstration, meaning the material impacts are illustrative rather than based on actual detailed product-specific material data.</w:t>
      </w:r>
    </w:p>
    <w:p>
      <w:pPr>
        <w:numPr>
          <w:ilvl w:val="1"/>
          <w:numId w:val="1023"/>
        </w:numPr>
        <w:pStyle w:val="Compact"/>
      </w:pPr>
      <w:r>
        <w:t xml:space="preserve">"Select Mode" for transport was assumed as "Road Freight (Heavy Duty Truck)" and "Delivery Type" as "Light Commercial Vehicle (Van)". Actual modes and specific vehicle efficiencies could vary.</w:t>
      </w:r>
    </w:p>
    <w:p>
      <w:pPr>
        <w:numPr>
          <w:ilvl w:val="1"/>
          <w:numId w:val="1023"/>
        </w:numPr>
        <w:pStyle w:val="Compact"/>
      </w:pPr>
      <w:r>
        <w:t xml:space="preserve">The application of the LSR Standard is noted but not numerically quantified due to the product\'s nature and data availability.</w:t>
      </w:r>
    </w:p>
    <w:p>
      <w:pPr>
        <w:pStyle w:val="FirstParagraph"/>
      </w:pPr>
      <w:r>
        <w:t xml:space="preserve">To enhance the reliability and accuracy of future assessments, it is recommended to collect more primary data for specific material supply chains, exact transport routes and modes, and detailed energy mixes where the product is actually used.</w:t>
      </w:r>
    </w:p>
    <w:p>
      <w:r>
        <w:pict>
          <v:rect style="width:0;height:1.5pt" o:hralign="center" o:hrstd="t" o:hr="t"/>
        </w:pict>
      </w:r>
    </w:p>
    <w:p>
      <w:pPr>
        <w:pStyle w:val="FirstParagraph"/>
      </w:pPr>
      <w:r>
        <w:t xml:space="preserve">Confidential - Internal Use Only | Page</w:t>
      </w:r>
      <w:r>
        <w:t xml:space="preserve"> </w:t>
      </w:r>
      <w:bookmarkStart w:id="38" w:name="pageNumber"/>
      <w:bookmarkEnd w:id="38"/>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loilmyqprf</dc:title>
  <dc:creator/>
  <dc:description>Detailed Product Carbon Footprint (PCF) analysis report for loilmyqprf, conducted by htzlymvmmg for ytfkknvxgz, adhering to GHG Protocol standards.</dc:description>
  <dc:language>en</dc:language>
  <cp:keywords/>
  <dcterms:created xsi:type="dcterms:W3CDTF">2026-07-15T11:39:49Z</dcterms:created>
  <dcterms:modified xsi:type="dcterms:W3CDTF">2026-07-15T11:39:49Z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