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lnrryoozky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lnrryoozky</w:t>
      </w:r>
    </w:p>
    <w:p>
      <w:pPr>
        <w:pStyle w:val="BodyText"/>
      </w:pPr>
      <w:r>
        <w:rPr>
          <w:bCs/>
          <w:b/>
        </w:rPr>
        <w:t xml:space="preserve">Company:</w:t>
      </w:r>
      <w:r>
        <w:t xml:space="preserve"> </w:t>
      </w:r>
      <w:r>
        <w:t xml:space="preserve">iendpoeylj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jlyortrgll</w:t>
      </w:r>
    </w:p>
    <w:p>
      <w:pPr>
        <w:pStyle w:val="BodyText"/>
      </w:pPr>
      <w:r>
        <w:t xml:space="preserve">Disclaimer: This report is generated based on available data and industry standards. The numerical values used for calculation are illustrative examples to demonstrate the methodology where specific input data was provided as generic placeholders. Actual calculations require precise, primary data.</w:t>
      </w:r>
    </w:p>
    <w:bookmarkEnd w:id="20"/>
    <w:bookmarkStart w:id="49" w:name="X4f7e9696f6f4e33fa72a92a83fd79ace5faa705"/>
    <w:p>
      <w:pPr>
        <w:pStyle w:val="Heading1"/>
      </w:pPr>
      <w:r>
        <w:t xml:space="preserve">Product Carbon Footprint (PCF) Analysis Report for lnrryoozky</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lnrryoozky, developed for iendpoeylj. The analysis was conducted by Senior Sustainability Consultant jlyortrgll, adhering strictly to the GHG Protocol accounting standard, including the 2026 Land Sector and Removals (LSR) update, and ensuring comprehensive Scope 3 coverage. The primary goal is to quantify greenhouse gas (GHG) emissions across the product\'s lifecycle, identify key emission hotspots, and provide a foundation for strategic sustainability improvements. The functional unit for this analysis is 1.0 unit of lnrryoozky.</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 of lnrryoozky</w:t>
      </w:r>
      <w:r>
        <w:t xml:space="preserve">. This unit serves as the reference basis for quantifying all relevant inputs and outputs throughout the product\'s lifecycle, ensuring comparability and consistency.</w:t>
      </w:r>
    </w:p>
    <w:bookmarkEnd w:id="22"/>
    <w:bookmarkStart w:id="23"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"cradle-to-grave,"</w:t>
      </w:r>
      <w:r>
        <w:t xml:space="preserve"> </w:t>
      </w:r>
      <w:r>
        <w:t xml:space="preserve">encompassing all stages from raw material extraction (cradle) through manufacturing, transport, use phase, and ultimately to end-of-life (grave). While "factory_gate" marks a significant point for measuring direct production emissions, the analysis extends beyond this gate to include downstream emissions from the use and end-of-life phases, consistent with a comprehensive GHG Protocol value chain (Scope 3) assessment.</w:t>
      </w:r>
    </w:p>
    <w:bookmarkEnd w:id="23"/>
    <w:bookmarkStart w:id="24" w:name="geographic-scope"/>
    <w:p>
      <w:pPr>
        <w:pStyle w:val="Heading3"/>
      </w:pPr>
      <w:r>
        <w:t xml:space="preserve">Geographic Scope</w:t>
      </w:r>
    </w:p>
    <w:p>
      <w:pPr>
        <w:pStyle w:val="FirstParagraph"/>
      </w:pPr>
      <w:r>
        <w:t xml:space="preserve">The geographic scope covers a supply chain primarily focused on Europe, with final product manufacturing occurring in China. This dual focus necessitates the consideration of specific energy grids and logistics networks pertinent to both regions.</w:t>
      </w:r>
    </w:p>
    <w:bookmarkEnd w:id="24"/>
    <w:bookmarkStart w:id="25" w:name="accounting-standard"/>
    <w:p>
      <w:pPr>
        <w:pStyle w:val="Heading3"/>
      </w:pPr>
      <w:r>
        <w:t xml:space="preserve">Accounting Standard</w:t>
      </w:r>
    </w:p>
    <w:p>
      <w:pPr>
        <w:pStyle w:val="FirstParagraph"/>
      </w:pPr>
      <w:r>
        <w:t xml:space="preserve">This PCF analysis is performed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the value chain).</w:t>
      </w:r>
    </w:p>
    <w:p>
      <w:pPr>
        <w:pStyle w:val="BodyText"/>
      </w:pPr>
      <w:r>
        <w:t xml:space="preserve">Furthermore, this analysis incorporates the requirements of the</w:t>
      </w:r>
      <w:r>
        <w:t xml:space="preserve"> </w:t>
      </w:r>
      <w:r>
        <w:rPr>
          <w:bCs/>
          <w:b/>
        </w:rPr>
        <w:t xml:space="preserve">GHG Protocol Land Sector and Removals (LSR) Standard (2026 update)</w:t>
      </w:r>
      <w:r>
        <w:t xml:space="preserve">, addressing land use and carbon removal impacts where applicable.</w:t>
      </w:r>
    </w:p>
    <w:bookmarkEnd w:id="25"/>
    <w:bookmarkStart w:id="26" w:name="allocation"/>
    <w:p>
      <w:pPr>
        <w:pStyle w:val="Heading3"/>
      </w:pPr>
      <w:r>
        <w:t xml:space="preserve">Allocation</w:t>
      </w:r>
    </w:p>
    <w:p>
      <w:pPr>
        <w:pStyle w:val="FirstParagraph"/>
      </w:pPr>
      <w:r>
        <w:t xml:space="preserve">For multi-output processes within the lifecycle, an allocation approach based on physical causality (e.g., mass-based) is applied where possible. For specific components or processes, direct attribution is used. Co-product allocation is handled proportionally to the economic value where direct physical allocation is not feasible.</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The lifecycle of lnrryoozky has been mapped into distinct stages, and relevant data points have been collected, comprising both primary data (where available or represented by provided parameters) and secondary data (industry-average emission factors). The following sections detail the inputs for each stage, utilizing the specific parameters provided.</w:t>
      </w:r>
    </w:p>
    <w:bookmarkStart w:id="29" w:name="X8f2043f63ffb7810edabd362e4eb838bc00022e"/>
    <w:p>
      <w:pPr>
        <w:pStyle w:val="Heading3"/>
      </w:pPr>
      <w:r>
        <w:t xml:space="preserve">A. Materials (Upstream - Scope 3, Category 1: Purchased Goods and Services)</w:t>
      </w:r>
    </w:p>
    <w:p>
      <w:pPr>
        <w:pStyle w:val="FirstParagraph"/>
      </w:pPr>
      <w:r>
        <w:t xml:space="preserve">The Detailed Bill of Materials (BOM) for lnrryoozky, provided as \'olpwqjze\', is critical for calculating the emissions associated with raw material extraction and processing. For this report, an illustrative BOM dataset has been generated based on the specified format to demonstrate the calculation methodology. Industry-standard emission factors, such as those from Ecoinvent, are typically used for materials.</w:t>
      </w:r>
    </w:p>
    <w:bookmarkStart w:id="28" w:name="Xc685e81821cefd0cba78efc8e8ff039c58f8b01"/>
    <w:p>
      <w:pPr>
        <w:pStyle w:val="Heading4"/>
      </w:pPr>
      <w:r>
        <w:t xml:space="preserve">Illustrative Bill of Materials (BOM) Data for lnrryoozky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102</w:t>
            </w:r>
          </w:p>
        </w:tc>
        <w:tc>
          <w:tcPr/>
          <w:p>
            <w:pPr>
              <w:pStyle w:val="Compact"/>
              <w:jc w:val="left"/>
            </w:pPr>
            <w:r>
              <w:t xml:space="preserve">Plastic Casing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103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iCs/>
          <w:i/>
        </w:rPr>
        <w:t xml:space="preserve">Note: The "Total Carbon" values presented in the table above are derived from the product of "Quantity" and "Emission Factor" for each material. These values serve as the primary input for material impact calculations.</w:t>
      </w:r>
    </w:p>
    <w:bookmarkEnd w:id="28"/>
    <w:bookmarkEnd w:id="29"/>
    <w:bookmarkStart w:id="30" w:name="X6d0a817ad5c9c8da3f5b3568859a76c3602823f"/>
    <w:p>
      <w:pPr>
        <w:pStyle w:val="Heading3"/>
      </w:pPr>
      <w:r>
        <w:t xml:space="preserve">B. Production (Core Manufacturing - Scope 1 &amp; 2)</w:t>
      </w:r>
    </w:p>
    <w:p>
      <w:pPr>
        <w:pStyle w:val="FirstParagraph"/>
      </w:pPr>
      <w:r>
        <w:t xml:space="preserve">The production phase, located in China, accounts for direct emissions from manufacturing processes (Scope 1) and indirect emissions from purchased electricity (Scope 2).</w:t>
      </w:r>
    </w:p>
    <w:p>
      <w:pPr>
        <w:numPr>
          <w:ilvl w:val="0"/>
          <w:numId w:val="1001"/>
        </w:numPr>
        <w:pStyle w:val="Compact"/>
      </w:pPr>
      <w:r>
        <w:rPr>
          <w:bCs/>
          <w:b/>
        </w:rPr>
        <w:t xml:space="preserve">Energy Intensity (kWh/unit):</w:t>
      </w:r>
      <w:r>
        <w:t xml:space="preserve"> </w:t>
      </w:r>
      <w:r>
        <w:t xml:space="preserve">episjlugig (Illustrative: 5 kWh/unit)</w:t>
      </w:r>
    </w:p>
    <w:p>
      <w:pPr>
        <w:numPr>
          <w:ilvl w:val="0"/>
          <w:numId w:val="1001"/>
        </w:numPr>
        <w:pStyle w:val="Compact"/>
      </w:pPr>
      <w:r>
        <w:rPr>
          <w:bCs/>
          <w:b/>
        </w:rPr>
        <w:t xml:space="preserve">Renewable Energy Usage:</w:t>
      </w:r>
      <w:r>
        <w:t xml:space="preserve"> </w:t>
      </w:r>
      <w:r>
        <w:t xml:space="preserve">nvoothtrdu (Illustrative: 30%)</w:t>
      </w:r>
    </w:p>
    <w:p>
      <w:pPr>
        <w:numPr>
          <w:ilvl w:val="0"/>
          <w:numId w:val="1001"/>
        </w:numPr>
        <w:pStyle w:val="Compact"/>
      </w:pPr>
      <w:r>
        <w:rPr>
          <w:bCs/>
          <w:b/>
        </w:rPr>
        <w:t xml:space="preserve">Assumed Non-Renewable Electricity Emission Factor (China Grid Mix):</w:t>
      </w:r>
      <w:r>
        <w:t xml:space="preserve"> </w:t>
      </w:r>
      <w:r>
        <w:t xml:space="preserve">0.6 kgCO2e/kWh</w:t>
      </w:r>
    </w:p>
    <w:p>
      <w:pPr>
        <w:numPr>
          <w:ilvl w:val="0"/>
          <w:numId w:val="1001"/>
        </w:numPr>
        <w:pStyle w:val="Compact"/>
      </w:pPr>
      <w:r>
        <w:rPr>
          <w:bCs/>
          <w:b/>
        </w:rPr>
        <w:t xml:space="preserve">Scope 1 Emissions:</w:t>
      </w:r>
      <w:r>
        <w:t xml:space="preserve"> </w:t>
      </w:r>
      <w:r>
        <w:t xml:space="preserve">Assumed negligible for product manufacturing without specific direct process emissions (e.g., fuel combustion on-site) provided.</w:t>
      </w:r>
    </w:p>
    <w:bookmarkEnd w:id="30"/>
    <w:bookmarkStart w:id="31" w:name="X4d11ad594b79084785fb9ea43501e30e7b3a78a"/>
    <w:p>
      <w:pPr>
        <w:pStyle w:val="Heading3"/>
      </w:pPr>
      <w:r>
        <w:t xml:space="preserve">C. Transport (Upstream &amp; Downstream - Scope 3, Category 4 &amp; 9)</w:t>
      </w:r>
    </w:p>
    <w:p>
      <w:pPr>
        <w:pStyle w:val="FirstParagraph"/>
      </w:pPr>
      <w:r>
        <w:t xml:space="preserve">Logistics play a significant role in the overall PCF, covering the movement of raw materials (upstream) and the finished product (downstream).</w:t>
      </w:r>
    </w:p>
    <w:p>
      <w:pPr>
        <w:numPr>
          <w:ilvl w:val="0"/>
          <w:numId w:val="1002"/>
        </w:numPr>
        <w:pStyle w:val="Compact"/>
      </w:pPr>
      <w:r>
        <w:rPr>
          <w:bCs/>
          <w:b/>
        </w:rPr>
        <w:t xml:space="preserve">Transport Distance:</w:t>
      </w:r>
      <w:r>
        <w:t xml:space="preserve"> </w:t>
      </w:r>
      <w:r>
        <w:t xml:space="preserve">gxjtxirjrp (Illustrative: 10,500 km - covering intercontinental and local transport)</w:t>
      </w:r>
    </w:p>
    <w:p>
      <w:pPr>
        <w:numPr>
          <w:ilvl w:val="0"/>
          <w:numId w:val="1002"/>
        </w:numPr>
        <w:pStyle w:val="Compact"/>
      </w:pPr>
      <w:r>
        <w:rPr>
          <w:bCs/>
          <w:b/>
        </w:rPr>
        <w:t xml:space="preserve">Transport Mode (Primary):</w:t>
      </w:r>
      <w:r>
        <w:t xml:space="preserve"> </w:t>
      </w:r>
      <w:r>
        <w:t xml:space="preserve">Select Mode (Illustrative: Sea Freight for intercontinental, Road Freight for local distribution)</w:t>
      </w:r>
    </w:p>
    <w:p>
      <w:pPr>
        <w:numPr>
          <w:ilvl w:val="0"/>
          <w:numId w:val="1002"/>
        </w:numPr>
        <w:pStyle w:val="Compact"/>
      </w:pPr>
      <w:r>
        <w:rPr>
          <w:bCs/>
          <w:b/>
        </w:rPr>
        <w:t xml:space="preserve">Last-Mile Delivery Channel:</w:t>
      </w:r>
      <w:r>
        <w:t xml:space="preserve"> </w:t>
      </w:r>
      <w:r>
        <w:t xml:space="preserve">Delivery Type (Illustrative: Light Commercial Vehicle)</w:t>
      </w:r>
    </w:p>
    <w:p>
      <w:pPr>
        <w:numPr>
          <w:ilvl w:val="0"/>
          <w:numId w:val="1002"/>
        </w:numPr>
        <w:pStyle w:val="Compact"/>
      </w:pPr>
      <w:r>
        <w:rPr>
          <w:bCs/>
          <w:b/>
        </w:rPr>
        <w:t xml:space="preserve">Assumed Emission Factor - Sea Freight:</w:t>
      </w:r>
      <w:r>
        <w:t xml:space="preserve"> </w:t>
      </w:r>
      <w:r>
        <w:t xml:space="preserve">0.01 kgCO2e/tkm (assuming average product mass of 1 kg for calculation)</w:t>
      </w:r>
    </w:p>
    <w:p>
      <w:pPr>
        <w:numPr>
          <w:ilvl w:val="0"/>
          <w:numId w:val="1002"/>
        </w:numPr>
        <w:pStyle w:val="Compact"/>
      </w:pPr>
      <w:r>
        <w:rPr>
          <w:bCs/>
          <w:b/>
        </w:rPr>
        <w:t xml:space="preserve">Assumed Emission Factor - Road Freight:</w:t>
      </w:r>
      <w:r>
        <w:t xml:space="preserve"> </w:t>
      </w:r>
      <w:r>
        <w:t xml:space="preserve">0.08 kgCO2e/tkm (assuming average product mass of 1 kg for calculation)</w:t>
      </w:r>
    </w:p>
    <w:p>
      <w:pPr>
        <w:numPr>
          <w:ilvl w:val="0"/>
          <w:numId w:val="1002"/>
        </w:numPr>
        <w:pStyle w:val="Compact"/>
      </w:pPr>
      <w:r>
        <w:rPr>
          <w:bCs/>
          <w:b/>
        </w:rPr>
        <w:t xml:space="preserve">Assumed Emission Factor - Last-Mile Delivery:</w:t>
      </w:r>
      <w:r>
        <w:t xml:space="preserve"> </w:t>
      </w:r>
      <w:r>
        <w:t xml:space="preserve">0.2 kgCO2e/km (per delivery, for illustrative purposes)</w:t>
      </w:r>
    </w:p>
    <w:p>
      <w:pPr>
        <w:pStyle w:val="FirstParagraph"/>
      </w:pPr>
      <w:r>
        <w:rPr>
          <w:iCs/>
          <w:i/>
        </w:rPr>
        <w:t xml:space="preserve">Note: Specific transport modes and their associated emission factors are crucial for high-accuracy calculations. The values above are illustrative based on generic industry averages, referencing sources such as DEFRA and IPCC.</w:t>
      </w:r>
    </w:p>
    <w:bookmarkEnd w:id="31"/>
    <w:bookmarkStart w:id="32" w:name="Xbebc25c0b09574ec77f1d8d4fd34aeff10534f0"/>
    <w:p>
      <w:pPr>
        <w:pStyle w:val="Heading3"/>
      </w:pPr>
      <w:r>
        <w:t xml:space="preserve">D. Use Phase (Downstream - Scope 3, Category 11: Use of Sold Products)</w:t>
      </w:r>
    </w:p>
    <w:p>
      <w:pPr>
        <w:pStyle w:val="FirstParagraph"/>
      </w:pPr>
      <w:r>
        <w:t xml:space="preserve">The energy consumption during the product\'s lifespan contributes significantly to its carbon footprint.</w:t>
      </w:r>
    </w:p>
    <w:p>
      <w:pPr>
        <w:numPr>
          <w:ilvl w:val="0"/>
          <w:numId w:val="1003"/>
        </w:numPr>
        <w:pStyle w:val="Compact"/>
      </w:pPr>
      <w:r>
        <w:rPr>
          <w:bCs/>
          <w:b/>
        </w:rPr>
        <w:t xml:space="preserve">Product Lifespan:</w:t>
      </w:r>
      <w:r>
        <w:t xml:space="preserve"> </w:t>
      </w:r>
      <w:r>
        <w:t xml:space="preserve">njeejurtdj (Illustrative: 5 years)</w:t>
      </w:r>
    </w:p>
    <w:p>
      <w:pPr>
        <w:numPr>
          <w:ilvl w:val="0"/>
          <w:numId w:val="1003"/>
        </w:numPr>
        <w:pStyle w:val="Compact"/>
      </w:pPr>
      <w:r>
        <w:rPr>
          <w:bCs/>
          <w:b/>
        </w:rPr>
        <w:t xml:space="preserve">Energy Consumption in Use (per year):</w:t>
      </w:r>
      <w:r>
        <w:t xml:space="preserve"> </w:t>
      </w:r>
      <w:r>
        <w:t xml:space="preserve">kvmssxkzwd (Illustrative: 10 kWh/year)</w:t>
      </w:r>
    </w:p>
    <w:p>
      <w:pPr>
        <w:numPr>
          <w:ilvl w:val="0"/>
          <w:numId w:val="1003"/>
        </w:numPr>
        <w:pStyle w:val="Compact"/>
      </w:pPr>
      <w:r>
        <w:rPr>
          <w:bCs/>
          <w:b/>
        </w:rPr>
        <w:t xml:space="preserve">Assumed Electricity Emission Factor (Global Average for Use Phase):</w:t>
      </w:r>
      <w:r>
        <w:t xml:space="preserve"> </w:t>
      </w:r>
      <w:r>
        <w:t xml:space="preserve">0.4 kgCO2e/kWh</w:t>
      </w:r>
    </w:p>
    <w:bookmarkEnd w:id="32"/>
    <w:bookmarkStart w:id="33" w:name="X988b5dd7c4188f4363658870c5fc873904ada88"/>
    <w:p>
      <w:pPr>
        <w:pStyle w:val="Heading3"/>
      </w:pPr>
      <w:r>
        <w:t xml:space="preserve">E. End-of-Life (EoL) (Downstream - Scope 3, Category 12: End-of-Life Treatment of Sold Products)</w:t>
      </w:r>
    </w:p>
    <w:p>
      <w:pPr>
        <w:pStyle w:val="FirstParagraph"/>
      </w:pPr>
      <w:r>
        <w:t xml:space="preserve">The end-of-life scenario dictates the emissions or avoided emissions associated with product disposal, recycling, or recovery.</w:t>
      </w:r>
    </w:p>
    <w:p>
      <w:pPr>
        <w:numPr>
          <w:ilvl w:val="0"/>
          <w:numId w:val="1004"/>
        </w:numPr>
        <w:pStyle w:val="Compact"/>
      </w:pPr>
      <w:r>
        <w:rPr>
          <w:bCs/>
          <w:b/>
        </w:rPr>
        <w:t xml:space="preserve">Recyclability Percentage:</w:t>
      </w:r>
      <w:r>
        <w:t xml:space="preserve"> </w:t>
      </w:r>
      <w:r>
        <w:t xml:space="preserve">yyvunkipzk (Illustrative: 70%)</w:t>
      </w:r>
    </w:p>
    <w:p>
      <w:pPr>
        <w:numPr>
          <w:ilvl w:val="0"/>
          <w:numId w:val="1004"/>
        </w:numPr>
        <w:pStyle w:val="Compact"/>
      </w:pPr>
      <w:r>
        <w:rPr>
          <w:bCs/>
          <w:b/>
        </w:rPr>
        <w:t xml:space="preserve">Circular/Take-back Programs:</w:t>
      </w:r>
      <w:r>
        <w:t xml:space="preserve"> </w:t>
      </w:r>
      <w:r>
        <w:t xml:space="preserve">ojznyoxnek (Illustrative: "Yes, formal take-back scheme in place, leading to high material recovery.")</w:t>
      </w:r>
    </w:p>
    <w:p>
      <w:pPr>
        <w:numPr>
          <w:ilvl w:val="0"/>
          <w:numId w:val="1004"/>
        </w:numPr>
        <w:pStyle w:val="Compact"/>
      </w:pPr>
      <w:r>
        <w:rPr>
          <w:bCs/>
          <w:b/>
        </w:rPr>
        <w:t xml:space="preserve">Assumed Recycling Credit:</w:t>
      </w:r>
      <w:r>
        <w:t xml:space="preserve"> </w:t>
      </w:r>
      <w:r>
        <w:t xml:space="preserve">50% of virgin material emission factor for recycled portion.</w:t>
      </w:r>
    </w:p>
    <w:p>
      <w:pPr>
        <w:numPr>
          <w:ilvl w:val="0"/>
          <w:numId w:val="1004"/>
        </w:numPr>
        <w:pStyle w:val="Compact"/>
      </w:pPr>
      <w:r>
        <w:rPr>
          <w:bCs/>
          <w:b/>
        </w:rPr>
        <w:t xml:space="preserve">Assumed Disposal Emission Factor (for non-recycled portion):</w:t>
      </w:r>
      <w:r>
        <w:t xml:space="preserve"> </w:t>
      </w:r>
      <w:r>
        <w:t xml:space="preserve">0.1 kgCO2e/kg (e.g., for average mixed waste, noting that DEFRA factors can be higher for specific waste types)</w:t>
      </w:r>
    </w:p>
    <w:p>
      <w:pPr>
        <w:numPr>
          <w:ilvl w:val="0"/>
          <w:numId w:val="1004"/>
        </w:numPr>
        <w:pStyle w:val="Compact"/>
      </w:pPr>
      <w:r>
        <w:rPr>
          <w:bCs/>
          <w:b/>
        </w:rPr>
        <w:t xml:space="preserve">Assumed Average Product Mass for EoL:</w:t>
      </w:r>
      <w:r>
        <w:t xml:space="preserve"> </w:t>
      </w:r>
      <w:r>
        <w:t xml:space="preserve">1 kg (based on BOM components)</w:t>
      </w:r>
    </w:p>
    <w:p>
      <w:r>
        <w:pict>
          <v:rect style="width:0;height:1.5pt" o:hralign="center" o:hrstd="t" o:hr="t"/>
        </w:pict>
      </w:r>
    </w:p>
    <w:bookmarkEnd w:id="33"/>
    <w:bookmarkEnd w:id="34"/>
    <w:bookmarkStart w:id="42"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for each lifecycle stage, categorized according to the GHG Protocol. For illustrative purposes, we will assume a total product mass for transport and EoL where not specified directly by BOM mass components.</w:t>
      </w:r>
    </w:p>
    <w:bookmarkStart w:id="41" w:name="Xb2d128b8ea3db374d046015e8bcb8c1d3d8d101"/>
    <w:p>
      <w:pPr>
        <w:pStyle w:val="Heading3"/>
      </w:pPr>
      <w:r>
        <w:t xml:space="preserve">Total PCF for lnrryoozky (Illustrative Calculation)</w:t>
      </w:r>
    </w:p>
    <w:p>
      <w:pPr>
        <w:numPr>
          <w:ilvl w:val="0"/>
          <w:numId w:val="1005"/>
        </w:numPr>
        <w:pStyle w:val="Compact"/>
      </w:pPr>
      <w:r>
        <w:rPr>
          <w:bCs/>
          <w:b/>
        </w:rPr>
        <w:t xml:space="preserve">Functional Unit:</w:t>
      </w:r>
      <w:r>
        <w:t xml:space="preserve"> </w:t>
      </w:r>
      <w:r>
        <w:t xml:space="preserve">1.0 unit of lnrryoozky</w:t>
      </w:r>
    </w:p>
    <w:p>
      <w:pPr>
        <w:numPr>
          <w:ilvl w:val="0"/>
          <w:numId w:val="1005"/>
        </w:numPr>
        <w:pStyle w:val="Compact"/>
      </w:pPr>
      <w:r>
        <w:rPr>
          <w:bCs/>
          <w:b/>
        </w:rPr>
        <w:t xml:space="preserve">Illustrative Product Mass for Transport &amp; EoL:</w:t>
      </w:r>
      <w:r>
        <w:t xml:space="preserve"> </w:t>
      </w:r>
      <w:r>
        <w:t xml:space="preserve">For calculations requiring a total product mass (e.g., transport in tkm, EoL mass), an illustrative average product mass of 1.0 kg per functional unit is used. This is a common practice for initial assessments when detailed component-level mass data for all lifecycle stages is not fully disaggregated from a BOM.</w:t>
      </w:r>
    </w:p>
    <w:bookmarkStart w:id="35" w:name="Xd48aca913b1123e8b7837eeab0d87881698c785"/>
    <w:p>
      <w:pPr>
        <w:pStyle w:val="Heading4"/>
      </w:pPr>
      <w:r>
        <w:t xml:space="preserve">A. Scope 3 - Upstream Emissions (Materials &amp; Transport)</w:t>
      </w:r>
    </w:p>
    <w:p>
      <w:pPr>
        <w:pStyle w:val="FirstParagraph"/>
      </w:pPr>
      <w:r>
        <w:rPr>
          <w:bCs/>
          <w:b/>
        </w:rPr>
        <w:t xml:space="preserve">1. Purchased Goods and Services (Materials):</w:t>
      </w:r>
    </w:p>
    <w:p>
      <w:pPr>
        <w:pStyle w:val="BodyText"/>
      </w:pPr>
      <w:r>
        <w:t xml:space="preserve">Total Carbon from Illustrative BOM:</w:t>
      </w:r>
    </w:p>
    <w:p>
      <w:pPr>
        <w:numPr>
          <w:ilvl w:val="0"/>
          <w:numId w:val="1006"/>
        </w:numPr>
        <w:pStyle w:val="Compact"/>
      </w:pPr>
      <w:r>
        <w:t xml:space="preserve">Steel Frame: 1.0 kgCO2e</w:t>
      </w:r>
    </w:p>
    <w:p>
      <w:pPr>
        <w:numPr>
          <w:ilvl w:val="0"/>
          <w:numId w:val="1006"/>
        </w:numPr>
        <w:pStyle w:val="Compact"/>
      </w:pPr>
      <w:r>
        <w:t xml:space="preserve">Plastic Casing: 0.7 kgCO2e</w:t>
      </w:r>
    </w:p>
    <w:p>
      <w:pPr>
        <w:numPr>
          <w:ilvl w:val="0"/>
          <w:numId w:val="1006"/>
        </w:numPr>
        <w:pStyle w:val="Compact"/>
      </w:pPr>
      <w:r>
        <w:t xml:space="preserve">Electronic Circuit Board: 15.0 kgCO2e</w:t>
      </w:r>
    </w:p>
    <w:p>
      <w:pPr>
        <w:numPr>
          <w:ilvl w:val="0"/>
          <w:numId w:val="1006"/>
        </w:numPr>
        <w:pStyle w:val="Compact"/>
      </w:pPr>
      <w:r>
        <w:t xml:space="preserve">Packaging: 0.1 kgCO2e</w:t>
      </w:r>
    </w:p>
    <w:p>
      <w:pPr>
        <w:pStyle w:val="FirstParagraph"/>
      </w:pPr>
      <w:r>
        <w:rPr>
          <w:bCs/>
          <w:b/>
        </w:rPr>
        <w:t xml:space="preserve">Total Material Emissions = 1.0 + 0.7 + 15.0 + 0.1 = 16.8 kgCO2e</w:t>
      </w:r>
    </w:p>
    <w:p>
      <w:pPr>
        <w:pStyle w:val="BodyText"/>
      </w:pPr>
      <w:r>
        <w:rPr>
          <w:bCs/>
          <w:b/>
        </w:rPr>
        <w:t xml:space="preserve">2. Upstream Transportation and Distribution:</w:t>
      </w:r>
    </w:p>
    <w:p>
      <w:pPr>
        <w:numPr>
          <w:ilvl w:val="0"/>
          <w:numId w:val="1007"/>
        </w:numPr>
        <w:pStyle w:val="Compact"/>
      </w:pPr>
      <w:r>
        <w:t xml:space="preserve">Illustrative Transport Distance: 10,500 km</w:t>
      </w:r>
    </w:p>
    <w:p>
      <w:pPr>
        <w:numPr>
          <w:ilvl w:val="0"/>
          <w:numId w:val="1007"/>
        </w:numPr>
        <w:pStyle w:val="Compact"/>
      </w:pPr>
      <w:r>
        <w:t xml:space="preserve">Illustrative Product Mass for Transport: 1 kg</w:t>
      </w:r>
    </w:p>
    <w:p>
      <w:pPr>
        <w:numPr>
          <w:ilvl w:val="0"/>
          <w:numId w:val="1007"/>
        </w:numPr>
        <w:pStyle w:val="Compact"/>
      </w:pPr>
      <w:r>
        <w:t xml:space="preserve">Assume 10,000 km Sea Freight + 500 km Road Freight</w:t>
      </w:r>
    </w:p>
    <w:p>
      <w:pPr>
        <w:numPr>
          <w:ilvl w:val="0"/>
          <w:numId w:val="1007"/>
        </w:numPr>
        <w:pStyle w:val="Compact"/>
      </w:pPr>
      <w:r>
        <w:t xml:space="preserve">Sea Freight Emissions = 10,000 km * 1 kg (0.001 tonne) * 0.01 kgCO2e/tkm = 0.1 kgCO2e</w:t>
      </w:r>
    </w:p>
    <w:p>
      <w:pPr>
        <w:numPr>
          <w:ilvl w:val="0"/>
          <w:numId w:val="1007"/>
        </w:numPr>
        <w:pStyle w:val="Compact"/>
      </w:pPr>
      <w:r>
        <w:t xml:space="preserve">Road Freight Emissions = 500 km * 1 kg (0.001 tonne) * 0.08 kgCO2e/tkm = 0.04 kgCO2e</w:t>
      </w:r>
    </w:p>
    <w:p>
      <w:pPr>
        <w:pStyle w:val="FirstParagraph"/>
      </w:pPr>
      <w:r>
        <w:rPr>
          <w:bCs/>
          <w:b/>
        </w:rPr>
        <w:t xml:space="preserve">Total Upstream Transport Emissions = 0.1 + 0.04 = 0.14 kgCO2e</w:t>
      </w:r>
    </w:p>
    <w:bookmarkEnd w:id="35"/>
    <w:bookmarkStart w:id="36" w:name="X1a1229b31688f4e94064142a9553c9162014c82"/>
    <w:p>
      <w:pPr>
        <w:pStyle w:val="Heading4"/>
      </w:pPr>
      <w:r>
        <w:t xml:space="preserve">B. Scope 2 - Purchased Electricity Emissions (Production)</w:t>
      </w:r>
    </w:p>
    <w:p>
      <w:pPr>
        <w:numPr>
          <w:ilvl w:val="0"/>
          <w:numId w:val="1008"/>
        </w:numPr>
        <w:pStyle w:val="Compact"/>
      </w:pPr>
      <w:r>
        <w:t xml:space="preserve">Energy Intensity: 5 kWh/unit</w:t>
      </w:r>
    </w:p>
    <w:p>
      <w:pPr>
        <w:numPr>
          <w:ilvl w:val="0"/>
          <w:numId w:val="1008"/>
        </w:numPr>
        <w:pStyle w:val="Compact"/>
      </w:pPr>
      <w:r>
        <w:t xml:space="preserve">Renewable Energy Usage: 30%</w:t>
      </w:r>
    </w:p>
    <w:p>
      <w:pPr>
        <w:numPr>
          <w:ilvl w:val="0"/>
          <w:numId w:val="1008"/>
        </w:numPr>
        <w:pStyle w:val="Compact"/>
      </w:pPr>
      <w:r>
        <w:t xml:space="preserve">Non-renewable energy: 5 kWh * (1 - 0.30) = 3.5 kWh/unit</w:t>
      </w:r>
    </w:p>
    <w:p>
      <w:pPr>
        <w:numPr>
          <w:ilvl w:val="0"/>
          <w:numId w:val="1008"/>
        </w:numPr>
        <w:pStyle w:val="Compact"/>
      </w:pPr>
      <w:r>
        <w:t xml:space="preserve">Emission Factor (China Grid): 0.6 kgCO2e/kWh</w:t>
      </w:r>
    </w:p>
    <w:p>
      <w:pPr>
        <w:pStyle w:val="FirstParagraph"/>
      </w:pPr>
      <w:r>
        <w:rPr>
          <w:bCs/>
          <w:b/>
        </w:rPr>
        <w:t xml:space="preserve">Total Production Energy Emissions (Scope 2) = 3.5 kWh/unit * 0.6 kgCO2e/kWh = 2.1 kgCO2e</w:t>
      </w:r>
    </w:p>
    <w:bookmarkEnd w:id="36"/>
    <w:bookmarkStart w:id="37" w:name="c.-scope-1---direct-emissions-production"/>
    <w:p>
      <w:pPr>
        <w:pStyle w:val="Heading4"/>
      </w:pPr>
      <w:r>
        <w:t xml:space="preserve">C. Scope 1 - Direct Emissions (Production)</w:t>
      </w:r>
    </w:p>
    <w:p>
      <w:pPr>
        <w:pStyle w:val="FirstParagraph"/>
      </w:pPr>
      <w:r>
        <w:t xml:space="preserve">As no specific direct process emissions were provided, Scope 1 emissions for product manufacturing are assumed to be negligible for this product\'s PCF. If on-site fuel combustion or fugitive emissions existed, they would be quantified here.</w:t>
      </w:r>
    </w:p>
    <w:p>
      <w:pPr>
        <w:pStyle w:val="BodyText"/>
      </w:pPr>
      <w:r>
        <w:rPr>
          <w:bCs/>
          <w:b/>
        </w:rPr>
        <w:t xml:space="preserve">Total Direct Emissions (Scope 1) = 0.0 kgCO2e</w:t>
      </w:r>
    </w:p>
    <w:bookmarkEnd w:id="37"/>
    <w:bookmarkStart w:id="38" w:name="d.-scope-3---downstream-emissions"/>
    <w:p>
      <w:pPr>
        <w:pStyle w:val="Heading4"/>
      </w:pPr>
      <w:r>
        <w:t xml:space="preserve">D. Scope 3 - Downstream Emissions</w:t>
      </w:r>
    </w:p>
    <w:p>
      <w:pPr>
        <w:pStyle w:val="FirstParagraph"/>
      </w:pPr>
      <w:r>
        <w:rPr>
          <w:bCs/>
          <w:b/>
        </w:rPr>
        <w:t xml:space="preserve">1. Use of Sold Products:</w:t>
      </w:r>
    </w:p>
    <w:p>
      <w:pPr>
        <w:numPr>
          <w:ilvl w:val="0"/>
          <w:numId w:val="1009"/>
        </w:numPr>
        <w:pStyle w:val="Compact"/>
      </w:pPr>
      <w:r>
        <w:t xml:space="preserve">Product Lifespan: 5 years</w:t>
      </w:r>
    </w:p>
    <w:p>
      <w:pPr>
        <w:numPr>
          <w:ilvl w:val="0"/>
          <w:numId w:val="1009"/>
        </w:numPr>
        <w:pStyle w:val="Compact"/>
      </w:pPr>
      <w:r>
        <w:t xml:space="preserve">Annual Energy Consumption: 10 kWh/year</w:t>
      </w:r>
    </w:p>
    <w:p>
      <w:pPr>
        <w:numPr>
          <w:ilvl w:val="0"/>
          <w:numId w:val="1009"/>
        </w:numPr>
        <w:pStyle w:val="Compact"/>
      </w:pPr>
      <w:r>
        <w:t xml:space="preserve">Total Energy Consumption in Use = 5 years * 10 kWh/year = 50 kWh</w:t>
      </w:r>
    </w:p>
    <w:p>
      <w:pPr>
        <w:numPr>
          <w:ilvl w:val="0"/>
          <w:numId w:val="1009"/>
        </w:numPr>
        <w:pStyle w:val="Compact"/>
      </w:pPr>
      <w:r>
        <w:t xml:space="preserve">Emission Factor (Global Average): 0.4 kgCO2e/kWh</w:t>
      </w:r>
    </w:p>
    <w:p>
      <w:pPr>
        <w:pStyle w:val="FirstParagraph"/>
      </w:pPr>
      <w:r>
        <w:rPr>
          <w:bCs/>
          <w:b/>
        </w:rPr>
        <w:t xml:space="preserve">Total Use Phase Emissions = 50 kWh * 0.4 kgCO2e/kWh = 20.0 kgCO2e</w:t>
      </w:r>
    </w:p>
    <w:p>
      <w:pPr>
        <w:pStyle w:val="BodyText"/>
      </w:pPr>
      <w:r>
        <w:rPr>
          <w:bCs/>
          <w:b/>
        </w:rPr>
        <w:t xml:space="preserve">2. End-of-Life Treatment of Sold Products:</w:t>
      </w:r>
    </w:p>
    <w:p>
      <w:pPr>
        <w:numPr>
          <w:ilvl w:val="0"/>
          <w:numId w:val="1010"/>
        </w:numPr>
        <w:pStyle w:val="Compact"/>
      </w:pPr>
      <w:r>
        <w:t xml:space="preserve">Illustrative Product Mass for EoL: 1 kg</w:t>
      </w:r>
    </w:p>
    <w:p>
      <w:pPr>
        <w:numPr>
          <w:ilvl w:val="0"/>
          <w:numId w:val="1010"/>
        </w:numPr>
        <w:pStyle w:val="Compact"/>
      </w:pPr>
      <w:r>
        <w:t xml:space="preserve">Recyclability: 70%</w:t>
      </w:r>
    </w:p>
    <w:p>
      <w:pPr>
        <w:numPr>
          <w:ilvl w:val="0"/>
          <w:numId w:val="1010"/>
        </w:numPr>
        <w:pStyle w:val="Compact"/>
      </w:pPr>
      <w:r>
        <w:t xml:space="preserve">Recycled portion = 1 kg * 0.70 = 0.7 kg</w:t>
      </w:r>
    </w:p>
    <w:p>
      <w:pPr>
        <w:numPr>
          <w:ilvl w:val="0"/>
          <w:numId w:val="1010"/>
        </w:numPr>
        <w:pStyle w:val="Compact"/>
      </w:pPr>
      <w:r>
        <w:t xml:space="preserve">Disposed portion = 1 kg * (1 - 0.70) = 0.3 kg</w:t>
      </w:r>
    </w:p>
    <w:p>
      <w:pPr>
        <w:pStyle w:val="FirstParagraph"/>
      </w:pPr>
      <w:r>
        <w:rPr>
          <w:bCs/>
          <w:b/>
        </w:rPr>
        <w:t xml:space="preserve">Recycling Credit:</w:t>
      </w:r>
      <w:r>
        <w:t xml:space="preserve"> </w:t>
      </w:r>
      <w:r>
        <w:t xml:space="preserve">Assuming an average virgin material emission factor (e.g., from steel/plastic) of 2.5 kgCO2e/kg (an illustrative average derived from BOM).</w:t>
      </w:r>
      <w:r>
        <w:t xml:space="preserve"> </w:t>
      </w:r>
      <w:r>
        <w:t xml:space="preserve">Credit = 0.7 kg * 0.5 (credit factor) * 2.5 kgCO2e/kg = -0.875 kgCO2e (avoided emissions)</w:t>
      </w:r>
    </w:p>
    <w:p>
      <w:pPr>
        <w:pStyle w:val="BodyText"/>
      </w:pPr>
      <w:r>
        <w:rPr>
          <w:bCs/>
          <w:b/>
        </w:rPr>
        <w:t xml:space="preserve">Disposal Emissions:</w:t>
      </w:r>
      <w:r>
        <w:t xml:space="preserve"> </w:t>
      </w:r>
      <w:r>
        <w:t xml:space="preserve">Disposal = 0.3 kg * 0.1 kgCO2e/kg = 0.03 kgCO2e [cite: 13 for waste factors]</w:t>
      </w:r>
    </w:p>
    <w:p>
      <w:pPr>
        <w:pStyle w:val="BodyText"/>
      </w:pPr>
      <w:r>
        <w:rPr>
          <w:bCs/>
          <w:b/>
        </w:rPr>
        <w:t xml:space="preserve">Total End-of-Life Emissions = 0.03 - 0.875 = -0.845 kgCO2e</w:t>
      </w:r>
      <w:r>
        <w:t xml:space="preserve"> </w:t>
      </w:r>
      <w:r>
        <w:t xml:space="preserve">(Net removal due to high recycling)</w:t>
      </w:r>
    </w:p>
    <w:bookmarkEnd w:id="38"/>
    <w:bookmarkStart w:id="39" w:name="X6d11755dfadbf31d6b1fc0d4114771308879e2a"/>
    <w:p>
      <w:pPr>
        <w:pStyle w:val="Heading4"/>
      </w:pPr>
      <w:r>
        <w:t xml:space="preserve">Summary of Product Carbon Footprint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Calculated Emissions (kgCO2e per functional unit)</w:t>
            </w:r>
          </w:p>
        </w:tc>
      </w:tr>
      <w:tr>
        <w:tc>
          <w:tcPr/>
          <w:p>
            <w:pPr>
              <w:pStyle w:val="Compact"/>
              <w:jc w:val="left"/>
            </w:pPr>
            <w:r>
              <w:t xml:space="preserve">Scope 1</w:t>
            </w:r>
          </w:p>
        </w:tc>
        <w:tc>
          <w:tcPr/>
          <w:p>
            <w:pPr>
              <w:pStyle w:val="Compact"/>
              <w:jc w:val="left"/>
            </w:pPr>
            <w:r>
              <w:t xml:space="preserve">Direct Production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2.10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16.80</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0.14</w:t>
            </w:r>
          </w:p>
        </w:tc>
      </w:tr>
      <w:tr>
        <w:tc>
          <w:tcPr/>
          <w:p>
            <w:pPr>
              <w:pStyle w:val="Compact"/>
              <w:jc w:val="left"/>
            </w:pPr>
            <w:r>
              <w:t xml:space="preserve">Scope 3 (Category 9)</w:t>
            </w:r>
          </w:p>
        </w:tc>
        <w:tc>
          <w:tcPr/>
          <w:p>
            <w:pPr>
              <w:pStyle w:val="Compact"/>
              <w:jc w:val="left"/>
            </w:pPr>
            <w:r>
              <w:t xml:space="preserve">Downstream Transportation &amp; Distribution (part of assumed overall transport)</w:t>
            </w:r>
          </w:p>
        </w:tc>
        <w:tc>
          <w:tcPr/>
          <w:p>
            <w:pPr>
              <w:pStyle w:val="Compact"/>
              <w:jc w:val="left"/>
            </w:pPr>
            <w:r>
              <w:t xml:space="preserve">(Included in 0.14 for illustrative purposes, or separately if downstream specific transport was provided for finished goods)</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20.00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-0.85</w:t>
            </w:r>
          </w:p>
        </w:tc>
      </w:tr>
      <w:tr>
        <w:tc>
          <w:tcPr>
            <w:gridSpan w:val="2"/>
          </w:tcPr>
          <w:p>
            <w:pPr>
              <w:pStyle w:val="Compact"/>
              <w:jc w:val="right"/>
            </w:pPr>
            <w:r>
              <w:t xml:space="preserve">TOTAL PRODUCT CARBON FOOTPRINT</w:t>
            </w:r>
          </w:p>
        </w:tc>
        <w:tc>
          <w:tcPr/>
          <w:p>
            <w:pPr>
              <w:pStyle w:val="Compact"/>
              <w:jc w:val="left"/>
            </w:pPr>
            <w:r>
              <w:t xml:space="preserve">38.19 kgCO2e/unit</w:t>
            </w:r>
          </w:p>
        </w:tc>
      </w:tr>
    </w:tbl>
    <w:p>
      <w:pPr>
        <w:pStyle w:val="BodyText"/>
      </w:pPr>
      <w:r>
        <w:rPr>
          <w:bCs/>
          <w:b/>
        </w:rPr>
        <w:t xml:space="preserve">Scope 3 Coverage:</w:t>
      </w:r>
    </w:p>
    <w:p>
      <w:pPr>
        <w:pStyle w:val="BodyText"/>
      </w:pPr>
      <w:r>
        <w:t xml:space="preserve">Total Scope 3 emissions (Categories 1, 4, 11, 12) = 16.80 + 0.14 + 20.00 - 0.85 = 36.09 kgCO2e.</w:t>
      </w:r>
    </w:p>
    <w:p>
      <w:pPr>
        <w:pStyle w:val="BodyText"/>
      </w:pPr>
      <w:r>
        <w:t xml:space="preserve">Total PCF = 38.19 kgCO2e.</w:t>
      </w:r>
    </w:p>
    <w:p>
      <w:pPr>
        <w:pStyle w:val="BodyText"/>
      </w:pPr>
      <w:r>
        <w:t xml:space="preserve">Scope 3 contribution to total PCF = (36.09 / 38.19) * 100% ≈ 94.5%.</w:t>
      </w:r>
    </w:p>
    <w:p>
      <w:pPr>
        <w:pStyle w:val="BodyText"/>
      </w:pPr>
      <w:r>
        <w:rPr>
          <w:iCs/>
          <w:i/>
        </w:rPr>
        <w:t xml:space="preserve">This illustrative calculation shows that Scope 3 emissions are a dominant factor, approaching the 95% coverage requirement. Full compliance would necessitate further granular data across all 15 Scope 3 categories where relevant.</w:t>
      </w:r>
    </w:p>
    <w:bookmarkEnd w:id="39"/>
    <w:bookmarkStart w:id="40" w:name="Xdc499c436a41758858ffb582e59a29706339e1b"/>
    <w:p>
      <w:pPr>
        <w:pStyle w:val="Heading4"/>
      </w:pPr>
      <w:r>
        <w:t xml:space="preserve">Application of 2026 LSR Update (Land Sector and Removals Standard)</w:t>
      </w:r>
    </w:p>
    <w:p>
      <w:pPr>
        <w:pStyle w:val="FirstParagraph"/>
      </w:pPr>
      <w:r>
        <w:t xml:space="preserve">The 2026 LSR Standard requires explicit accounting for land use change and carbon removals. While the provided BOM does not contain specific land-use data for raw material acquisition (e.g., deforestation for timber, soil carbon changes for agricultural products), the emission factors used for materials implicitly account for average land-use impacts associated with their production. The "Recycling Credit" applied in the EoL phase also represents a form of avoided emissions, which can be seen as a proxy for carbon removal if the recycled material displaces virgin production that would otherwise involve significant land-use impacts. For a more precise LSR application, specific data on bio-based materials, land-use conversion for resource extraction, and verified carbon removal projects would be necessary.</w:t>
      </w:r>
    </w:p>
    <w:p>
      <w:r>
        <w:pict>
          <v:rect style="width:0;height:1.5pt" o:hralign="center" o:hrstd="t" o:hr="t"/>
        </w:pict>
      </w:r>
    </w:p>
    <w:bookmarkEnd w:id="40"/>
    <w:bookmarkEnd w:id="41"/>
    <w:bookmarkEnd w:id="42"/>
    <w:bookmarkStart w:id="48"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Based on this illustrative PCF analysis, the primary emission hotspots for lnrryoozky are:</w:t>
      </w:r>
    </w:p>
    <w:p>
      <w:pPr>
        <w:numPr>
          <w:ilvl w:val="0"/>
          <w:numId w:val="1011"/>
        </w:numPr>
        <w:pStyle w:val="Compact"/>
      </w:pPr>
      <w:r>
        <w:rPr>
          <w:bCs/>
          <w:b/>
        </w:rPr>
        <w:t xml:space="preserve">Use Phase (Scope 3, Category 11):</w:t>
      </w:r>
      <w:r>
        <w:t xml:space="preserve"> </w:t>
      </w:r>
      <w:r>
        <w:t xml:space="preserve">Constitutes the largest portion (approx. 52%) of the total PCF due to prolonged energy consumption. This highlights the importance of energy efficiency during product operation.</w:t>
      </w:r>
    </w:p>
    <w:p>
      <w:pPr>
        <w:numPr>
          <w:ilvl w:val="0"/>
          <w:numId w:val="1011"/>
        </w:numPr>
        <w:pStyle w:val="Compact"/>
      </w:pPr>
      <w:r>
        <w:rPr>
          <w:bCs/>
          <w:b/>
        </w:rPr>
        <w:t xml:space="preserve">Purchased Goods and Services (Materials - Scope 3, Category 1):</w:t>
      </w:r>
      <w:r>
        <w:t xml:space="preserve"> </w:t>
      </w:r>
      <w:r>
        <w:t xml:space="preserve">Represents the second largest contributor (approx. 44%), particularly driven by the Electronic Circuit Board, indicating that material selection and design for lower-impact materials are crucial.</w:t>
      </w:r>
    </w:p>
    <w:p>
      <w:pPr>
        <w:numPr>
          <w:ilvl w:val="0"/>
          <w:numId w:val="1011"/>
        </w:numPr>
        <w:pStyle w:val="Compact"/>
      </w:pPr>
      <w:r>
        <w:rPr>
          <w:bCs/>
          <w:b/>
        </w:rPr>
        <w:t xml:space="preserve">Purchased Electricity (Production - Scope 2):</w:t>
      </w:r>
      <w:r>
        <w:t xml:space="preserve"> </w:t>
      </w:r>
      <w:r>
        <w:t xml:space="preserve">While smaller (approx. 5%), the emissions from manufacturing electricity in China could be further reduced by increasing the share of renewable energy beyond the current 30%.</w:t>
      </w:r>
    </w:p>
    <w:bookmarkEnd w:id="43"/>
    <w:bookmarkStart w:id="44" w:name="reliability-and-limitations"/>
    <w:p>
      <w:pPr>
        <w:pStyle w:val="Heading3"/>
      </w:pPr>
      <w:r>
        <w:t xml:space="preserve">Reliability and Limitations</w:t>
      </w:r>
    </w:p>
    <w:p>
      <w:pPr>
        <w:pStyle w:val="FirstParagraph"/>
      </w:pPr>
      <w:r>
        <w:t xml:space="preserve">The reliability of this report is directly tied to the accuracy and granularity of the input data. As this analysis utilized illustrative numerical values derived from generic placeholders, the quantitative results should be interpreted as indicative rather than definitive. For a fully accurate PCF, primary data for all material quantities, specific transport modes, distances, and energy mixes are essential. Industry-standard emission factors from databases like Ecoinvent or DEFRA were used for general calculations where specific factors were not provided, which introduces a degree of uncertainty. The 95% Scope 3 coverage target has been approached with the considered categories, but a complete analysis would explore all 15 categories to ensure full compliance.</w:t>
      </w:r>
    </w:p>
    <w:bookmarkEnd w:id="44"/>
    <w:bookmarkStart w:id="47" w:name="recommendations-for-improvement"/>
    <w:p>
      <w:pPr>
        <w:pStyle w:val="Heading3"/>
      </w:pPr>
      <w:r>
        <w:t xml:space="preserve">Recommendations for Improvement</w:t>
      </w:r>
    </w:p>
    <w:p>
      <w:pPr>
        <w:numPr>
          <w:ilvl w:val="0"/>
          <w:numId w:val="1012"/>
        </w:numPr>
        <w:pStyle w:val="Compact"/>
      </w:pPr>
      <w:r>
        <w:rPr>
          <w:bCs/>
          <w:b/>
        </w:rPr>
        <w:t xml:space="preserve">Use Phase Optimization:</w:t>
      </w:r>
      <w:r>
        <w:t xml:space="preserve"> </w:t>
      </w:r>
      <w:r>
        <w:t xml:space="preserve">Focus on designing for energy efficiency, potentially by using lower-power components or implementing smart energy-saving modes for lnrryoozky.</w:t>
      </w:r>
    </w:p>
    <w:p>
      <w:pPr>
        <w:numPr>
          <w:ilvl w:val="0"/>
          <w:numId w:val="1012"/>
        </w:numPr>
        <w:pStyle w:val="Compact"/>
      </w:pPr>
      <w:r>
        <w:rPr>
          <w:bCs/>
          <w:b/>
        </w:rPr>
        <w:t xml:space="preserve">Material Decarbonization:</w:t>
      </w:r>
      <w:r>
        <w:t xml:space="preserve"> </w:t>
      </w:r>
      <w:r>
        <w:t xml:space="preserve">Investigate alternative, lower-carbon materials for high-impact components, especially the Electronic Circuit Board. Engage with suppliers to understand and reduce their upstream emissions.</w:t>
      </w:r>
    </w:p>
    <w:p>
      <w:pPr>
        <w:numPr>
          <w:ilvl w:val="0"/>
          <w:numId w:val="1012"/>
        </w:numPr>
        <w:pStyle w:val="Compact"/>
      </w:pPr>
      <w:r>
        <w:rPr>
          <w:bCs/>
          <w:b/>
        </w:rPr>
        <w:t xml:space="preserve">Renewable Energy Adoption:</w:t>
      </w:r>
      <w:r>
        <w:t xml:space="preserve"> </w:t>
      </w:r>
      <w:r>
        <w:t xml:space="preserve">Increase the share of renewable energy sources at the manufacturing facility in China beyond 30% to significantly reduce Scope 2 emissions.</w:t>
      </w:r>
    </w:p>
    <w:p>
      <w:pPr>
        <w:numPr>
          <w:ilvl w:val="0"/>
          <w:numId w:val="1012"/>
        </w:numPr>
        <w:pStyle w:val="Compact"/>
      </w:pPr>
      <w:r>
        <w:rPr>
          <w:bCs/>
          <w:b/>
        </w:rPr>
        <w:t xml:space="preserve">Logistics Optimization:</w:t>
      </w:r>
      <w:r>
        <w:t xml:space="preserve"> </w:t>
      </w:r>
      <w:r>
        <w:t xml:space="preserve">Refine transport modes and routes to minimize emissions, especially for intercontinental freight. Consider localized production or sourcing where feasible.</w:t>
      </w:r>
    </w:p>
    <w:p>
      <w:pPr>
        <w:numPr>
          <w:ilvl w:val="0"/>
          <w:numId w:val="1012"/>
        </w:numPr>
        <w:pStyle w:val="Compact"/>
      </w:pPr>
      <w:r>
        <w:rPr>
          <w:bCs/>
          <w:b/>
        </w:rPr>
        <w:t xml:space="preserve">Circular Economy Strategies:</w:t>
      </w:r>
      <w:r>
        <w:t xml:space="preserve"> </w:t>
      </w:r>
      <w:r>
        <w:t xml:space="preserve">Continue to strengthen take-back programs and explore design for disassembly to enhance recyclability and material recovery, further improving EoL impacts.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r>
        <w:t xml:space="preserve"> </w:t>
      </w:r>
      <w:r>
        <w:t xml:space="preserve">of</w:t>
      </w:r>
      <w:r>
        <w:t xml:space="preserve"> </w:t>
      </w:r>
      <w:bookmarkStart w:id="46" w:name="totalPages"/>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lnrryoozky</dc:title>
  <dc:creator/>
  <dc:description>Detailed Product Carbon Footprint (PCF) analysis report for lnrryoozky, adhering to GHG Protocol standards and 2026 LSR updates, prepared by jlyortrgll for iendpoeylj.</dc:description>
  <dc:language>en</dc:language>
  <cp:keywords/>
  <dcterms:created xsi:type="dcterms:W3CDTF">2026-07-15T16:32:00Z</dcterms:created>
  <dcterms:modified xsi:type="dcterms:W3CDTF">2026-07-15T16:32:00Z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