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lmvnrwilln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lmvnrwilln</w:t>
      </w:r>
    </w:p>
    <w:p>
      <w:pPr>
        <w:pStyle w:val="BodyText"/>
      </w:pPr>
      <w:r>
        <w:rPr>
          <w:bCs/>
          <w:b/>
        </w:rPr>
        <w:t xml:space="preserve">Company:</w:t>
      </w:r>
      <w:r>
        <w:t xml:space="preserve"> </w:t>
      </w:r>
      <w:r>
        <w:t xml:space="preserve">ifwkivznnx</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stdnephryp</w:t>
      </w:r>
    </w:p>
    <w:p>
      <w:pPr>
        <w:pStyle w:val="BodyText"/>
      </w:pPr>
      <w:r>
        <w:t xml:space="preserve">This report is generated based on available data and industry standards. While efforts have been made to ensure accuracy, the results are subject to the completeness and reliability of the provided input parameters and selected emission factors.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lmvnrwilln</w:t>
      </w:r>
    </w:p>
    <w:p>
      <w:pPr>
        <w:pStyle w:val="BodyText"/>
      </w:pPr>
      <w:r>
        <w:rPr>
          <w:bCs/>
          <w:b/>
        </w:rPr>
        <w:t xml:space="preserve">Company:</w:t>
      </w:r>
      <w:r>
        <w:t xml:space="preserve"> </w:t>
      </w:r>
      <w:r>
        <w:t xml:space="preserve">ifwkivznnx</w:t>
      </w:r>
    </w:p>
    <w:p>
      <w:pPr>
        <w:pStyle w:val="BodyText"/>
      </w:pPr>
      <w:r>
        <w:rPr>
          <w:bCs/>
          <w:b/>
        </w:rPr>
        <w:t xml:space="preserve">Generated Date:</w:t>
      </w:r>
      <w:r>
        <w:t xml:space="preserve"> </w:t>
      </w:r>
      <w:r>
        <w:t xml:space="preserve">June 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"lmvnrwilln" manufactured by "ifwkivznnx," performed by Senior Sustainability Consultant stdnephryp. The analysis adheres to the GHG Protocol accounting standard, incorporating the latest 2026 Land Sector and Removals (LSR) update and ensuring robust Scope 3 compliance. The study aims to quantify the greenhouse gas (GHG) emissions across the product\'s lifecycle, from raw material extraction to end-of-life, identifying key hotspots and providing a foundation for emission reduction strategies.</w:t>
      </w:r>
    </w:p>
    <w:p>
      <w:r>
        <w:pict>
          <v:rect style="width:0;height:1.5pt" o:hralign="center" o:hrstd="t" o:hr="t"/>
        </w:pict>
      </w:r>
    </w:p>
    <w:bookmarkEnd w:id="22"/>
    <w:bookmarkStart w:id="23" w:name="methodology-adherence"/>
    <w:p>
      <w:pPr>
        <w:pStyle w:val="Heading2"/>
      </w:pPr>
      <w:r>
        <w:t xml:space="preserve">Methodology Adherence</w:t>
      </w:r>
    </w:p>
    <w:p>
      <w:pPr>
        <w:pStyle w:val="FirstParagraph"/>
      </w:pPr>
      <w:r>
        <w:t xml:space="preserve">This Product Carbon Footprint (PCF) analysis strictly adheres to the methodologies and requirements set forth by the GHG Protocol, the most widely used international accounting tool for quantifying greenhouse gas emissions.</w:t>
      </w:r>
    </w:p>
    <w:p>
      <w:pPr>
        <w:numPr>
          <w:ilvl w:val="0"/>
          <w:numId w:val="1001"/>
        </w:numPr>
        <w:pStyle w:val="Compact"/>
      </w:pPr>
      <w:r>
        <w:rPr>
          <w:bCs/>
          <w:b/>
        </w:rPr>
        <w:t xml:space="preserve">GHG Protocol 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 of the reporting company). This approach provides a comprehensive view of the product\'s environmental impact.</w:t>
      </w:r>
    </w:p>
    <w:p>
      <w:pPr>
        <w:numPr>
          <w:ilvl w:val="0"/>
          <w:numId w:val="1001"/>
        </w:numPr>
        <w:pStyle w:val="Compact"/>
      </w:pPr>
      <w:r>
        <w:rPr>
          <w:bCs/>
          <w:b/>
        </w:rPr>
        <w:t xml:space="preserve">2026 LSR Update Application:</w:t>
      </w:r>
      <w:r>
        <w:t xml:space="preserve"> </w:t>
      </w:r>
      <w:r>
        <w:t xml:space="preserve">In line with the 2026 Land Sector and Removals (LSR) Standard update, land use change and carbon removal impacts associated with relevant materials and processes in the supply chain have been considered. While specific land use data was not provided for all components, general industry averages for material sourcing regions have been implicitly accounted for within selected emission factors.</w:t>
      </w:r>
    </w:p>
    <w:p>
      <w:pPr>
        <w:numPr>
          <w:ilvl w:val="0"/>
          <w:numId w:val="1001"/>
        </w:numPr>
        <w:pStyle w:val="Compact"/>
      </w:pPr>
      <w:r>
        <w:rPr>
          <w:bCs/>
          <w:b/>
        </w:rPr>
        <w:t xml:space="preserve">Scope 3 Compliance:</w:t>
      </w:r>
      <w:r>
        <w:t xml:space="preserve"> </w:t>
      </w:r>
      <w:r>
        <w:t xml:space="preserve">Significant emphasis has been placed on achieving at least 95% coverage for Scope 3 reporting, as mandated by 2026 requirements. This involves a thorough assessment of upstream and downstream activities, including purchased goods and services, transportation, use of sold products, and end-of-life treatment.</w:t>
      </w:r>
    </w:p>
    <w:p>
      <w:r>
        <w:pict>
          <v:rect style="width:0;height:1.5pt" o:hralign="center" o:hrstd="t" o:hr="t"/>
        </w:pict>
      </w:r>
    </w:p>
    <w:bookmarkEnd w:id="23"/>
    <w:bookmarkStart w:id="28" w:name="define-scope"/>
    <w:p>
      <w:pPr>
        <w:pStyle w:val="Heading2"/>
      </w:pPr>
      <w:r>
        <w:t xml:space="preserve">1. Define Scope</w:t>
      </w:r>
    </w:p>
    <w:bookmarkStart w:id="24"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"lmvnrwilln"</w:t>
      </w:r>
      <w:r>
        <w:t xml:space="preserve">, delivered to the end-user, performing its intended function over its entire lifespan.</w:t>
      </w:r>
    </w:p>
    <w:bookmarkEnd w:id="24"/>
    <w:bookmarkStart w:id="25" w:name="system-boundary"/>
    <w:p>
      <w:pPr>
        <w:pStyle w:val="Heading3"/>
      </w:pPr>
      <w:r>
        <w:t xml:space="preserve">System Boundary:</w:t>
      </w:r>
    </w:p>
    <w:p>
      <w:pPr>
        <w:pStyle w:val="FirstParagraph"/>
      </w:pPr>
      <w:r>
        <w:t xml:space="preserve">This analysis employs a</w:t>
      </w:r>
      <w:r>
        <w:t xml:space="preserve"> </w:t>
      </w:r>
      <w:r>
        <w:rPr>
          <w:bCs/>
          <w:b/>
        </w:rPr>
        <w:t xml:space="preserve">"cradle-to-grave"</w:t>
      </w:r>
      <w:r>
        <w:t xml:space="preserve"> </w:t>
      </w:r>
      <w:r>
        <w:t xml:space="preserve">system boundary, encompassing all stages from raw material extraction ("cradle") through manufacturing, transportation, use, and ultimately to the product\'s "grave" (end-of-life). Specifically, the manufacturing boundary is set at</w:t>
      </w:r>
      <w:r>
        <w:t xml:space="preserve"> </w:t>
      </w:r>
      <w:r>
        <w:rPr>
          <w:bCs/>
          <w:b/>
        </w:rPr>
        <w:t xml:space="preserve">"factory_gate"</w:t>
      </w:r>
      <w:r>
        <w:t xml:space="preserve">, meaning direct emissions and energy use within the final production facility are captured, alongside all upstream impacts.</w:t>
      </w:r>
    </w:p>
    <w:bookmarkEnd w:id="25"/>
    <w:bookmarkStart w:id="26" w:name="geographic-scope"/>
    <w:p>
      <w:pPr>
        <w:pStyle w:val="Heading3"/>
      </w:pPr>
      <w:r>
        <w:t xml:space="preserve">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(This indicates that raw material sourcing, intermediate production, and inbound logistics often originate from or pass through European supply chains before reaching the final production country).</w:t>
      </w:r>
    </w:p>
    <w:bookmarkEnd w:id="26"/>
    <w:bookmarkStart w:id="27" w:name="allocation"/>
    <w:p>
      <w:pPr>
        <w:pStyle w:val="Heading3"/>
      </w:pPr>
      <w:r>
        <w:t xml:space="preserve">Allocation:</w:t>
      </w:r>
    </w:p>
    <w:p>
      <w:pPr>
        <w:pStyle w:val="FirstParagraph"/>
      </w:pPr>
      <w:r>
        <w:t xml:space="preserve">For co-product and waste allocation, a mass-based approach is generally applied where specific data is unavailable, following GHG Protocol guidance. Emissions are allocated to the primary product (lmvnrwilln). Credits for recycling and circular economy initiatives are applied at the end-of-life stage, reflecting avoided emissions from virgin material production.</w:t>
      </w:r>
    </w:p>
    <w:p>
      <w:r>
        <w:pict>
          <v:rect style="width:0;height:1.5pt" o:hralign="center" o:hrstd="t" o:hr="t"/>
        </w:pict>
      </w:r>
    </w:p>
    <w:bookmarkEnd w:id="27"/>
    <w:bookmarkEnd w:id="28"/>
    <w:bookmarkStart w:id="34" w:name="X668a29dea6996859d52024a913312988ccfa3c9"/>
    <w:p>
      <w:pPr>
        <w:pStyle w:val="Heading2"/>
      </w:pPr>
      <w:r>
        <w:t xml:space="preserve">2. Map Lifecycle (LCI inventory stages) &amp; 3. Collect Data</w:t>
      </w:r>
    </w:p>
    <w:p>
      <w:pPr>
        <w:pStyle w:val="FirstParagraph"/>
      </w:pPr>
      <w:r>
        <w:t xml:space="preserve">This section details the inputs required for the Product Carbon Footprint analysis, covering materials, energy, and logistics across the lifecycle stages. Where specific data for provided variables (e.g., `ljudfpot`, `lfnvmwpxnj`) was not directly supplied as calculable numbers but as variable names, example values representative of industry norms and consistent with the prompt\'s context have been assumed for demonstration purposes. Emission factors are drawn from industry-standard databases such as Ecoinvent and DEFRA, or recognized reporting bodies.</w:t>
      </w:r>
    </w:p>
    <w:bookmarkStart w:id="29" w:name="X96a6ac282bf4eff7da2412f150d1a8b7acd06c8"/>
    <w:p>
      <w:pPr>
        <w:pStyle w:val="Heading3"/>
      </w:pPr>
      <w:r>
        <w:t xml:space="preserve">Detailed Bill of Materials (BOM) &amp; Material Impact (Scope 3 - Upstream)</w:t>
      </w:r>
    </w:p>
    <w:p>
      <w:pPr>
        <w:pStyle w:val="FirstParagraph"/>
      </w:pPr>
      <w:r>
        <w:t xml:space="preserve">The following Bill of Materials (BOM) for "lmvnrwilln" has been used to calculate the material-related emissions. The provided format "ID, Description, Category, Process, Qty, Unit, Emission Factor, Total Carbon" has been populated with assumed, illustrative data for calculation accuracy.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7.00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0.175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0.03</w:t>
            </w:r>
          </w:p>
        </w:tc>
      </w:tr>
      <w:tr>
        <w:tc>
          <w:tcPr>
            <w:gridSpan w:val="4"/>
          </w:tcPr>
          <w:p>
            <w:pPr>
              <w:pStyle w:val="Compact"/>
              <w:jc w:val="left"/>
            </w:pPr>
            <w:r>
              <w:t xml:space="preserve">Total Material Weight:</w:t>
            </w:r>
          </w:p>
        </w:tc>
        <w:tc>
          <w:tcPr/>
          <w:p>
            <w:pPr>
              <w:pStyle w:val="Compact"/>
              <w:jc w:val="left"/>
            </w:pPr>
            <w:r>
              <w:t xml:space="preserve">0.88 kg</w:t>
            </w:r>
          </w:p>
        </w:tc>
        <w:tc>
          <w:tcPr>
            <w:gridSpan w:val="2"/>
          </w:tcPr>
          <w:p>
            <w:pPr>
              <w:pStyle w:val="Compact"/>
              <w:jc w:val="left"/>
            </w:pPr>
            <w:r>
              <w:t xml:space="preserve">Total Material Emissions:</w:t>
            </w:r>
          </w:p>
        </w:tc>
        <w:tc>
          <w:tcPr/>
          <w:p>
            <w:pPr>
              <w:pStyle w:val="Compact"/>
              <w:jc w:val="left"/>
            </w:pPr>
            <w:r>
              <w:t xml:space="preserve">5.805 kgCO2e</w:t>
            </w:r>
          </w:p>
        </w:tc>
      </w:tr>
    </w:tbl>
    <w:bookmarkEnd w:id="29"/>
    <w:bookmarkStart w:id="30" w:name="X5f4506d83ade9fd6b7a4dfd599a4ca934287250"/>
    <w:p>
      <w:pPr>
        <w:pStyle w:val="Heading3"/>
      </w:pPr>
      <w:r>
        <w:t xml:space="preserve">Production Phase Energy Inputs (Scope 2 - Purchased Electricity)</w:t>
      </w:r>
    </w:p>
    <w:p>
      <w:pPr>
        <w:numPr>
          <w:ilvl w:val="0"/>
          <w:numId w:val="1003"/>
        </w:numPr>
        <w:pStyle w:val="Compact"/>
      </w:pPr>
      <w:r>
        <w:rPr>
          <w:bCs/>
          <w:b/>
        </w:rPr>
        <w:t xml:space="preserve">Energy Intensity (kWh/unit):</w:t>
      </w:r>
      <w:r>
        <w:t xml:space="preserve"> </w:t>
      </w:r>
      <w:r>
        <w:t xml:space="preserve">2.5 kWh/unit (for product lmvnrwilln)</w:t>
      </w:r>
    </w:p>
    <w:p>
      <w:pPr>
        <w:numPr>
          <w:ilvl w:val="0"/>
          <w:numId w:val="1003"/>
        </w:numPr>
        <w:pStyle w:val="Compact"/>
      </w:pPr>
      <w:r>
        <w:rPr>
          <w:bCs/>
          <w:b/>
        </w:rPr>
        <w:t xml:space="preserve">Renewable Energy Usage:</w:t>
      </w:r>
      <w:r>
        <w:t xml:space="preserve"> </w:t>
      </w:r>
      <w:r>
        <w:t xml:space="preserve">70% (of purchased electricity for production)</w:t>
      </w:r>
    </w:p>
    <w:p>
      <w:pPr>
        <w:numPr>
          <w:ilvl w:val="0"/>
          <w:numId w:val="1003"/>
        </w:numPr>
        <w:pStyle w:val="Compact"/>
      </w:pPr>
      <w:r>
        <w:rPr>
          <w:bCs/>
          <w:b/>
        </w:rPr>
        <w:t xml:space="preserve">Geographic Scope for Energy:</w:t>
      </w:r>
      <w:r>
        <w:t xml:space="preserve"> </w:t>
      </w:r>
      <w:r>
        <w:t xml:space="preserve">China (Final Production Country)</w:t>
      </w:r>
    </w:p>
    <w:p>
      <w:pPr>
        <w:numPr>
          <w:ilvl w:val="0"/>
          <w:numId w:val="1003"/>
        </w:numPr>
        <w:pStyle w:val="Compact"/>
      </w:pPr>
      <w:r>
        <w:rPr>
          <w:bCs/>
          <w:b/>
        </w:rPr>
        <w:t xml:space="preserve">Assumed China Electricity Grid Emission Factor:</w:t>
      </w:r>
      <w:r>
        <w:t xml:space="preserve"> </w:t>
      </w:r>
      <w:r>
        <w:t xml:space="preserve">0.6 kgCO2e/kWh (based on national average in recent years, considering variability and ongoing decarbonization efforts).</w:t>
      </w:r>
    </w:p>
    <w:bookmarkEnd w:id="30"/>
    <w:bookmarkStart w:id="31" w:name="X20ad0bdff5af28dbb6d57eeccd0a407efcac187"/>
    <w:p>
      <w:pPr>
        <w:pStyle w:val="Heading3"/>
      </w:pPr>
      <w:r>
        <w:t xml:space="preserve">Logistics Data (Scope 3 - Upstream &amp; Downstream Transportation)</w:t>
      </w:r>
    </w:p>
    <w:p>
      <w:pPr>
        <w:numPr>
          <w:ilvl w:val="0"/>
          <w:numId w:val="1004"/>
        </w:numPr>
        <w:pStyle w:val="Compact"/>
      </w:pPr>
      <w:r>
        <w:rPr>
          <w:bCs/>
          <w:b/>
        </w:rPr>
        <w:t xml:space="preserve">Product Weight for Transport (per unit):</w:t>
      </w:r>
      <w:r>
        <w:t xml:space="preserve"> </w:t>
      </w:r>
      <w:r>
        <w:t xml:space="preserve">0.88 kg (derived from total material weight in BOM)</w:t>
      </w:r>
    </w:p>
    <w:p>
      <w:pPr>
        <w:numPr>
          <w:ilvl w:val="0"/>
          <w:numId w:val="1004"/>
        </w:numPr>
        <w:pStyle w:val="Compact"/>
      </w:pPr>
      <w:r>
        <w:rPr>
          <w:bCs/>
          <w:b/>
        </w:rPr>
        <w:t xml:space="preserve">Primary Transport Mode (Supply Chain):</w:t>
      </w:r>
      <w:r>
        <w:t xml:space="preserve"> </w:t>
      </w:r>
      <w:r>
        <w:t xml:space="preserve">Ocean Freight</w:t>
      </w:r>
    </w:p>
    <w:p>
      <w:pPr>
        <w:numPr>
          <w:ilvl w:val="0"/>
          <w:numId w:val="1004"/>
        </w:numPr>
        <w:pStyle w:val="Compact"/>
      </w:pPr>
      <w:r>
        <w:rPr>
          <w:bCs/>
          <w:b/>
        </w:rPr>
        <w:t xml:space="preserve">Transport Distance (Main Leg):</w:t>
      </w:r>
      <w:r>
        <w:t xml:space="preserve"> </w:t>
      </w:r>
      <w:r>
        <w:t xml:space="preserve">10,000 km</w:t>
      </w:r>
    </w:p>
    <w:p>
      <w:pPr>
        <w:numPr>
          <w:ilvl w:val="0"/>
          <w:numId w:val="1004"/>
        </w:numPr>
        <w:pStyle w:val="Compact"/>
      </w:pPr>
      <w:r>
        <w:rPr>
          <w:bCs/>
          <w:b/>
        </w:rPr>
        <w:t xml:space="preserve">Assumed Ocean Freight Emission Factor:</w:t>
      </w:r>
      <w:r>
        <w:t xml:space="preserve"> </w:t>
      </w:r>
      <w:r>
        <w:t xml:space="preserve">0.016 kgCO2e/tonne-km (DEFRA/DESNZ 2025 reports container ships at 16.12 gCO2e/tkm)</w:t>
      </w:r>
    </w:p>
    <w:p>
      <w:pPr>
        <w:numPr>
          <w:ilvl w:val="0"/>
          <w:numId w:val="1004"/>
        </w:numPr>
        <w:pStyle w:val="Compact"/>
      </w:pPr>
      <w:r>
        <w:rPr>
          <w:bCs/>
          <w:b/>
        </w:rPr>
        <w:t xml:space="preserve">Last-Mile Delivery Channel:</w:t>
      </w:r>
      <w:r>
        <w:t xml:space="preserve"> </w:t>
      </w:r>
      <w:r>
        <w:t xml:space="preserve">Road Van</w:t>
      </w:r>
    </w:p>
    <w:p>
      <w:pPr>
        <w:numPr>
          <w:ilvl w:val="0"/>
          <w:numId w:val="1004"/>
        </w:numPr>
        <w:pStyle w:val="Compact"/>
      </w:pPr>
      <w:r>
        <w:rPr>
          <w:bCs/>
          <w:b/>
        </w:rPr>
        <w:t xml:space="preserve">Assumed Last-Mile Delivery Distance:</w:t>
      </w:r>
      <w:r>
        <w:t xml:space="preserve"> </w:t>
      </w:r>
      <w:r>
        <w:t xml:space="preserve">200 km (illustrative for regional distribution)</w:t>
      </w:r>
    </w:p>
    <w:p>
      <w:pPr>
        <w:numPr>
          <w:ilvl w:val="0"/>
          <w:numId w:val="1004"/>
        </w:numPr>
        <w:pStyle w:val="Compact"/>
      </w:pPr>
      <w:r>
        <w:rPr>
          <w:bCs/>
          <w:b/>
        </w:rPr>
        <w:t xml:space="preserve">Assumed Road Van Emission Factor:</w:t>
      </w:r>
      <w:r>
        <w:t xml:space="preserve"> </w:t>
      </w:r>
      <w:r>
        <w:t xml:space="preserve">0.1 kgCO2e/tonne-km (based on general road freight, adjusted for van efficiency).</w:t>
      </w:r>
    </w:p>
    <w:bookmarkEnd w:id="31"/>
    <w:bookmarkStart w:id="32" w:name="Xb9aa4662f61984cb915f9aee5e57f8e12b3caaa"/>
    <w:p>
      <w:pPr>
        <w:pStyle w:val="Heading3"/>
      </w:pPr>
      <w:r>
        <w:t xml:space="preserve">Use Phase Data (Scope 3 - Use of Sold Products)</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10 kWh/year</w:t>
      </w:r>
    </w:p>
    <w:p>
      <w:pPr>
        <w:numPr>
          <w:ilvl w:val="0"/>
          <w:numId w:val="1005"/>
        </w:numPr>
        <w:pStyle w:val="Compact"/>
      </w:pPr>
      <w:r>
        <w:rPr>
          <w:bCs/>
          <w:b/>
        </w:rPr>
        <w:t xml:space="preserve">Assumed Electricity Grid Emission Factor (User Location, Europe Focused):</w:t>
      </w:r>
      <w:r>
        <w:t xml:space="preserve"> </w:t>
      </w:r>
      <w:r>
        <w:t xml:space="preserve">0.25 kgCO2e/kWh (a general average for Europe, considering varying national mixes)</w:t>
      </w:r>
    </w:p>
    <w:bookmarkEnd w:id="32"/>
    <w:bookmarkStart w:id="33" w:name="X52ec1b260960910085b6b0586dc8a92f8813668"/>
    <w:p>
      <w:pPr>
        <w:pStyle w:val="Heading3"/>
      </w:pPr>
      <w:r>
        <w:t xml:space="preserve">End-of-Life (EoL) Scenarios (Scope 3 - End-of-Life Treatment)</w:t>
      </w:r>
    </w:p>
    <w:p>
      <w:pPr>
        <w:numPr>
          <w:ilvl w:val="0"/>
          <w:numId w:val="1006"/>
        </w:numPr>
        <w:pStyle w:val="Compact"/>
      </w:pPr>
      <w:r>
        <w:rPr>
          <w:bCs/>
          <w:b/>
        </w:rPr>
        <w:t xml:space="preserve">Recyclability Percentage:</w:t>
      </w:r>
      <w:r>
        <w:t xml:space="preserve"> </w:t>
      </w:r>
      <w:r>
        <w:t xml:space="preserve">80%</w:t>
      </w:r>
    </w:p>
    <w:p>
      <w:pPr>
        <w:numPr>
          <w:ilvl w:val="0"/>
          <w:numId w:val="1006"/>
        </w:numPr>
        <w:pStyle w:val="Compact"/>
      </w:pPr>
      <w:r>
        <w:rPr>
          <w:bCs/>
          <w:b/>
        </w:rPr>
        <w:t xml:space="preserve">Circular/Take-back Programs:</w:t>
      </w:r>
      <w:r>
        <w:t xml:space="preserve"> </w:t>
      </w:r>
      <w:r>
        <w:t xml:space="preserve">Yes, established regional program offering material recovery incentives. (This implies a higher chance of actual recycling and potential avoided emissions.)</w:t>
      </w:r>
    </w:p>
    <w:p>
      <w:pPr>
        <w:numPr>
          <w:ilvl w:val="0"/>
          <w:numId w:val="1006"/>
        </w:numPr>
        <w:pStyle w:val="Compact"/>
      </w:pPr>
      <w:r>
        <w:rPr>
          <w:bCs/>
          <w:b/>
        </w:rPr>
        <w:t xml:space="preserve">Assumed Waste-to-Landfill Emission Factor (for non-recycled portion):</w:t>
      </w:r>
      <w:r>
        <w:t xml:space="preserve"> </w:t>
      </w:r>
      <w:r>
        <w:t xml:space="preserve">0.2 kgCO2e/kg (generic for mixed waste disposal)</w:t>
      </w:r>
    </w:p>
    <w:p>
      <w:pPr>
        <w:numPr>
          <w:ilvl w:val="0"/>
          <w:numId w:val="1006"/>
        </w:numPr>
        <w:pStyle w:val="Compact"/>
      </w:pPr>
      <w:r>
        <w:rPr>
          <w:bCs/>
          <w:b/>
        </w:rPr>
        <w:t xml:space="preserve">Recycling Credit (e.g., for Aluminum, Plastic, Copper):</w:t>
      </w:r>
      <w:r>
        <w:t xml:space="preserve"> </w:t>
      </w:r>
      <w:r>
        <w:t xml:space="preserve">Assumed 70% avoided emissions for recycled materials (this is illustrative and depends on material-specific data).</w:t>
      </w:r>
    </w:p>
    <w:p>
      <w:r>
        <w:pict>
          <v:rect style="width:0;height:1.5pt" o:hralign="center" o:hrstd="t" o:hr="t"/>
        </w:pict>
      </w:r>
    </w:p>
    <w:bookmarkEnd w:id="33"/>
    <w:bookmarkEnd w:id="34"/>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life cycle stage and categorized according to the GHG Protocol Scopes. The calculations utilize the data and emission factors outlined in the previous section.</w:t>
      </w:r>
    </w:p>
    <w:bookmarkStart w:id="35" w:name="scope-1-emissions-direct-emissions"/>
    <w:p>
      <w:pPr>
        <w:pStyle w:val="Heading3"/>
      </w:pPr>
      <w:r>
        <w:t xml:space="preserve">Scope 1 Emissions (Direct Emissions)</w:t>
      </w:r>
    </w:p>
    <w:p>
      <w:pPr>
        <w:pStyle w:val="FirstParagraph"/>
      </w:pPr>
      <w:r>
        <w:t xml:space="preserve">Given the "factory_gate" system boundary and the nature of product manufacturing, direct Scope 1 emissions from operations owned or controlled by ifwkivznnx (e.g., on-site fuel combustion, process emissions) are assumed to be negligible for this product\'s PCF when focusing solely on the product unit, or are embedded within the Scope 2 and 3 factors provided. For a full corporate GHG inventory, these would be directly measured. For this PCF, direct emissions not already captured in material or energy factors are considered minimal.</w:t>
      </w:r>
    </w:p>
    <w:p>
      <w:pPr>
        <w:pStyle w:val="BodyText"/>
      </w:pPr>
      <w:r>
        <w:rPr>
          <w:bCs/>
          <w:b/>
        </w:rPr>
        <w:t xml:space="preserve">Total Scope 1 Emissions: ~0.00 kgCO2e</w:t>
      </w:r>
      <w:r>
        <w:t xml:space="preserve"> </w:t>
      </w:r>
      <w:r>
        <w:t xml:space="preserve">(Per unit lmvnrwilln)</w:t>
      </w:r>
    </w:p>
    <w:bookmarkEnd w:id="35"/>
    <w:bookmarkStart w:id="36" w:name="scope-2-emissions-purchased-electricity"/>
    <w:p>
      <w:pPr>
        <w:pStyle w:val="Heading3"/>
      </w:pPr>
      <w:r>
        <w:t xml:space="preserve">Scope 2 Emissions (Purchased Electricity)</w:t>
      </w:r>
    </w:p>
    <w:p>
      <w:pPr>
        <w:pStyle w:val="FirstParagraph"/>
      </w:pPr>
      <w:r>
        <w:t xml:space="preserve">These emissions arise from the electricity purchased for the manufacturing process in China.</w:t>
      </w:r>
    </w:p>
    <w:p>
      <w:pPr>
        <w:numPr>
          <w:ilvl w:val="0"/>
          <w:numId w:val="1007"/>
        </w:numPr>
        <w:pStyle w:val="Compact"/>
      </w:pPr>
      <w:r>
        <w:t xml:space="preserve">Total Production Energy: 2.5 kWh/unit</w:t>
      </w:r>
    </w:p>
    <w:p>
      <w:pPr>
        <w:numPr>
          <w:ilvl w:val="0"/>
          <w:numId w:val="1007"/>
        </w:numPr>
        <w:pStyle w:val="Compact"/>
      </w:pPr>
      <w:r>
        <w:t xml:space="preserve">Non-renewable Energy Share: 100% - 70% = 30%</w:t>
      </w:r>
    </w:p>
    <w:p>
      <w:pPr>
        <w:numPr>
          <w:ilvl w:val="0"/>
          <w:numId w:val="1007"/>
        </w:numPr>
        <w:pStyle w:val="Compact"/>
      </w:pPr>
      <w:r>
        <w:t xml:space="preserve">Emissions from Non-renewable Electricity: 2.5 kWh/unit * 0.30 * 0.6 kgCO2e/kWh = 0.45 kgCO2e/unit</w:t>
      </w:r>
    </w:p>
    <w:p>
      <w:pPr>
        <w:pStyle w:val="FirstParagraph"/>
      </w:pPr>
      <w:r>
        <w:rPr>
          <w:bCs/>
          <w:b/>
        </w:rPr>
        <w:t xml:space="preserve">Total Scope 2 Emissions: 0.45 kgCO2e</w:t>
      </w:r>
      <w:r>
        <w:t xml:space="preserve"> </w:t>
      </w:r>
      <w:r>
        <w:t xml:space="preserve">(Per unit lmvnrwilln)</w:t>
      </w:r>
    </w:p>
    <w:bookmarkEnd w:id="36"/>
    <w:bookmarkStart w:id="42" w:name="scope-3-emissions-value-chain-emissions"/>
    <w:p>
      <w:pPr>
        <w:pStyle w:val="Heading3"/>
      </w:pPr>
      <w:r>
        <w:t xml:space="preserve">Scope 3 Emissions (Value Chain Emissions)</w:t>
      </w:r>
    </w:p>
    <w:bookmarkStart w:id="37" w:name="Xe7e2937ec0dab8f9aeb87fc3ec73cb8a31a2a13"/>
    <w:p>
      <w:pPr>
        <w:pStyle w:val="Heading4"/>
      </w:pPr>
      <w:r>
        <w:t xml:space="preserve">a) Upstream Emissions - Purchased Goods &amp; Services (Materials &amp; Manufacturing)</w:t>
      </w:r>
    </w:p>
    <w:p>
      <w:pPr>
        <w:pStyle w:val="FirstParagraph"/>
      </w:pPr>
      <w:r>
        <w:t xml:space="preserve">These are the emissions associated with the extraction, production, and manufacturing of raw materials and components, as detailed in the BOM.</w:t>
      </w:r>
    </w:p>
    <w:p>
      <w:pPr>
        <w:numPr>
          <w:ilvl w:val="0"/>
          <w:numId w:val="1008"/>
        </w:numPr>
        <w:pStyle w:val="Compact"/>
      </w:pPr>
      <w:r>
        <w:t xml:space="preserve">Total Material Emissions (from BOM table): 5.805 kgCO2e/unit</w:t>
      </w:r>
    </w:p>
    <w:p>
      <w:pPr>
        <w:pStyle w:val="FirstParagraph"/>
      </w:pPr>
      <w:r>
        <w:rPr>
          <w:bCs/>
          <w:b/>
        </w:rPr>
        <w:t xml:space="preserve">Sub-total Scope 3 (Materials): 5.805 kgCO2e</w:t>
      </w:r>
      <w:r>
        <w:t xml:space="preserve"> </w:t>
      </w:r>
      <w:r>
        <w:t xml:space="preserve">(Per unit lmvnrwilln)</w:t>
      </w:r>
    </w:p>
    <w:bookmarkEnd w:id="37"/>
    <w:bookmarkStart w:id="38" w:name="Xf53c44359f3a3da55223e3b0afaa53e153563d0"/>
    <w:p>
      <w:pPr>
        <w:pStyle w:val="Heading4"/>
      </w:pPr>
      <w:r>
        <w:t xml:space="preserve">b) Upstream Emissions - Transportation and Distribution</w:t>
      </w:r>
    </w:p>
    <w:p>
      <w:pPr>
        <w:pStyle w:val="FirstParagraph"/>
      </w:pPr>
      <w:r>
        <w:t xml:space="preserve">This includes transportation of materials to the factory gate and the outbound transport of the finished product to the market (excluding last-mile).</w:t>
      </w:r>
    </w:p>
    <w:p>
      <w:pPr>
        <w:numPr>
          <w:ilvl w:val="0"/>
          <w:numId w:val="1009"/>
        </w:numPr>
        <w:pStyle w:val="Compact"/>
      </w:pPr>
      <w:r>
        <w:t xml:space="preserve">Product Weight: 0.88 kg = 0.00088 tonnes</w:t>
      </w:r>
    </w:p>
    <w:p>
      <w:pPr>
        <w:numPr>
          <w:ilvl w:val="0"/>
          <w:numId w:val="1009"/>
        </w:numPr>
        <w:pStyle w:val="Compact"/>
      </w:pPr>
      <w:r>
        <w:t xml:space="preserve">Ocean Freight Emissions: 0.00088 tonnes * 10,000 km * 0.016 kgCO2e/tonne-km = 0.1408 kgCO2e/unit</w:t>
      </w:r>
    </w:p>
    <w:p>
      <w:pPr>
        <w:pStyle w:val="FirstParagraph"/>
      </w:pPr>
      <w:r>
        <w:rPr>
          <w:bCs/>
          <w:b/>
        </w:rPr>
        <w:t xml:space="preserve">Sub-total Scope 3 (Upstream Transport): 0.1408 kgCO2e</w:t>
      </w:r>
      <w:r>
        <w:t xml:space="preserve"> </w:t>
      </w:r>
      <w:r>
        <w:t xml:space="preserve">(Per unit lmvnrwilln)</w:t>
      </w:r>
    </w:p>
    <w:bookmarkEnd w:id="38"/>
    <w:bookmarkStart w:id="39" w:name="X12f001cc0f1089823ce8a3b9a081e5d88a405aa"/>
    <w:p>
      <w:pPr>
        <w:pStyle w:val="Heading4"/>
      </w:pPr>
      <w:r>
        <w:t xml:space="preserve">c) Downstream Emissions - Last-Mile Delivery</w:t>
      </w:r>
    </w:p>
    <w:p>
      <w:pPr>
        <w:pStyle w:val="FirstParagraph"/>
      </w:pPr>
      <w:r>
        <w:t xml:space="preserve">This covers the final delivery to the end-user.</w:t>
      </w:r>
    </w:p>
    <w:p>
      <w:pPr>
        <w:numPr>
          <w:ilvl w:val="0"/>
          <w:numId w:val="1010"/>
        </w:numPr>
        <w:pStyle w:val="Compact"/>
      </w:pPr>
      <w:r>
        <w:t xml:space="preserve">Road Van Emissions: 0.00088 tonnes * 200 km * 0.1 kgCO2e/tonne-km = 0.0176 kgCO2e/unit</w:t>
      </w:r>
    </w:p>
    <w:p>
      <w:pPr>
        <w:pStyle w:val="FirstParagraph"/>
      </w:pPr>
      <w:r>
        <w:rPr>
          <w:bCs/>
          <w:b/>
        </w:rPr>
        <w:t xml:space="preserve">Sub-total Scope 3 (Last-Mile Delivery): 0.0176 kgCO2e</w:t>
      </w:r>
      <w:r>
        <w:t xml:space="preserve"> </w:t>
      </w:r>
      <w:r>
        <w:t xml:space="preserve">(Per unit lmvnrwilln)</w:t>
      </w:r>
    </w:p>
    <w:bookmarkEnd w:id="39"/>
    <w:bookmarkStart w:id="40" w:name="X603b6bbbc3f609d9de4282bc659b99cebe6e8e8"/>
    <w:p>
      <w:pPr>
        <w:pStyle w:val="Heading4"/>
      </w:pPr>
      <w:r>
        <w:t xml:space="preserve">d) Downstream Emissions - Use of Sold Products</w:t>
      </w:r>
    </w:p>
    <w:p>
      <w:pPr>
        <w:pStyle w:val="FirstParagraph"/>
      </w:pPr>
      <w:r>
        <w:t xml:space="preserve">Emissions from the product\'s energy consumption during its lifespan.</w:t>
      </w:r>
    </w:p>
    <w:p>
      <w:pPr>
        <w:numPr>
          <w:ilvl w:val="0"/>
          <w:numId w:val="1011"/>
        </w:numPr>
        <w:pStyle w:val="Compact"/>
      </w:pPr>
      <w:r>
        <w:t xml:space="preserve">Total Energy in Use: 10 kWh/year * 5 years = 50 kWh/unit</w:t>
      </w:r>
    </w:p>
    <w:p>
      <w:pPr>
        <w:numPr>
          <w:ilvl w:val="0"/>
          <w:numId w:val="1011"/>
        </w:numPr>
        <w:pStyle w:val="Compact"/>
      </w:pPr>
      <w:r>
        <w:t xml:space="preserve">Use Phase Emissions: 50 kWh/unit * 0.25 kgCO2e/kWh (Europe average) = 12.5 kgCO2e/unit</w:t>
      </w:r>
    </w:p>
    <w:p>
      <w:pPr>
        <w:pStyle w:val="FirstParagraph"/>
      </w:pPr>
      <w:r>
        <w:rPr>
          <w:bCs/>
          <w:b/>
        </w:rPr>
        <w:t xml:space="preserve">Sub-total Scope 3 (Use Phase): 12.5 kgCO2e</w:t>
      </w:r>
      <w:r>
        <w:t xml:space="preserve"> </w:t>
      </w:r>
      <w:r>
        <w:t xml:space="preserve">(Per unit lmvnrwilln)</w:t>
      </w:r>
    </w:p>
    <w:bookmarkEnd w:id="40"/>
    <w:bookmarkStart w:id="41" w:name="X9d1901345f14e6b5e9d64facc84f784e5b449bf"/>
    <w:p>
      <w:pPr>
        <w:pStyle w:val="Heading4"/>
      </w:pPr>
      <w:r>
        <w:t xml:space="preserve">e) Downstream Emissions - End-of-Life Treatment of Sold Products</w:t>
      </w:r>
    </w:p>
    <w:p>
      <w:pPr>
        <w:pStyle w:val="FirstParagraph"/>
      </w:pPr>
      <w:r>
        <w:t xml:space="preserve">Emissions from disposal of the non-recycled portion and credits for recycling.</w:t>
      </w:r>
    </w:p>
    <w:p>
      <w:pPr>
        <w:numPr>
          <w:ilvl w:val="0"/>
          <w:numId w:val="1012"/>
        </w:numPr>
        <w:pStyle w:val="Compact"/>
      </w:pPr>
      <w:r>
        <w:t xml:space="preserve">Non-recyclable portion: 0.88 kg * (1 - 0.80) = 0.176 kg/unit</w:t>
      </w:r>
    </w:p>
    <w:p>
      <w:pPr>
        <w:numPr>
          <w:ilvl w:val="0"/>
          <w:numId w:val="1012"/>
        </w:numPr>
        <w:pStyle w:val="Compact"/>
      </w:pPr>
      <w:r>
        <w:t xml:space="preserve">Emissions from non-recycled waste: 0.176 kg/unit * 0.2 kgCO2e/kg = 0.0352 kgCO2e/unit</w:t>
      </w:r>
    </w:p>
    <w:p>
      <w:pPr>
        <w:numPr>
          <w:ilvl w:val="0"/>
          <w:numId w:val="1012"/>
        </w:numPr>
        <w:pStyle w:val="Compact"/>
      </w:pPr>
      <w:r>
        <w:t xml:space="preserve">Recycling Credit: For the 80% recycled portion, assuming 70% avoided emissions from virgin production.</w:t>
      </w:r>
      <w:r>
        <w:t xml:space="preserve"> </w:t>
      </w:r>
      <w:r>
        <w:t xml:space="preserve">* Recycled portion\'s original emissions: 5.805 kgCO2e * 0.80 = 4.644 kgCO2e</w:t>
      </w:r>
      <w:r>
        <w:t xml:space="preserve"> </w:t>
      </w:r>
      <w:r>
        <w:t xml:space="preserve">* Avoided emissions (credit): 4.644 kgCO2e * 0.70 = 3.2508 kgCO2e credit</w:t>
      </w:r>
    </w:p>
    <w:p>
      <w:pPr>
        <w:pStyle w:val="FirstParagraph"/>
      </w:pPr>
      <w:r>
        <w:rPr>
          <w:bCs/>
          <w:b/>
        </w:rPr>
        <w:t xml:space="preserve">Sub-total Scope 3 (End-of-Life): 0.0352 kgCO2e - 3.2508 kgCO2e = -3.2156 kgCO2e</w:t>
      </w:r>
      <w:r>
        <w:t xml:space="preserve"> </w:t>
      </w:r>
      <w:r>
        <w:t xml:space="preserve">(Per unit lmvnrwilln)</w:t>
      </w:r>
    </w:p>
    <w:p>
      <w:pPr>
        <w:pStyle w:val="BodyText"/>
      </w:pPr>
      <w:r>
        <w:rPr>
          <w:iCs/>
          <w:i/>
        </w:rPr>
        <w:t xml:space="preserve">Note: The negative value indicates a net carbon removal/avoidance due to high recyclability and circular programs, as per the 2026 LSR update, contributing positively to the overall footprint.</w:t>
      </w:r>
    </w:p>
    <w:bookmarkEnd w:id="41"/>
    <w:bookmarkEnd w:id="42"/>
    <w:bookmarkStart w:id="43"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(negligible/embedded for PCF)</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0.45</w:t>
            </w:r>
          </w:p>
        </w:tc>
      </w:tr>
      <w:tr>
        <w:tc>
          <w:tcPr>
            <w:gridSpan w:val="2"/>
          </w:tcPr>
          <w:p>
            <w:pPr>
              <w:pStyle w:val="Compact"/>
              <w:jc w:val="left"/>
            </w:pPr>
            <w:r>
              <w:t xml:space="preserve">Total Scope 1 &amp; 2 Emissions</w:t>
            </w:r>
          </w:p>
        </w:tc>
        <w:tc>
          <w:tcPr/>
          <w:p>
            <w:pPr>
              <w:pStyle w:val="Compact"/>
              <w:jc w:val="left"/>
            </w:pPr>
            <w:r>
              <w:t xml:space="preserve">0.45</w:t>
            </w:r>
          </w:p>
        </w:tc>
      </w:tr>
      <w:tr>
        <w:tc>
          <w:tcPr/>
          <w:p>
            <w:pPr>
              <w:pStyle w:val="Compact"/>
              <w:jc w:val="left"/>
            </w:pPr>
            <w:r>
              <w:t xml:space="preserve">Scope 3</w:t>
            </w:r>
          </w:p>
        </w:tc>
        <w:tc>
          <w:tcPr/>
          <w:p>
            <w:pPr>
              <w:pStyle w:val="Compact"/>
              <w:jc w:val="left"/>
            </w:pPr>
            <w:r>
              <w:t xml:space="preserve">Upstream – Purchased Goods &amp; Services (Materials)</w:t>
            </w:r>
          </w:p>
        </w:tc>
        <w:tc>
          <w:tcPr/>
          <w:p>
            <w:pPr>
              <w:pStyle w:val="Compact"/>
              <w:jc w:val="left"/>
            </w:pPr>
            <w:r>
              <w:t xml:space="preserve">5.805</w:t>
            </w:r>
          </w:p>
        </w:tc>
      </w:tr>
      <w:tr>
        <w:tc>
          <w:tcPr/>
          <w:p>
            <w:pPr>
              <w:pStyle w:val="Compact"/>
              <w:jc w:val="left"/>
            </w:pPr>
            <w:r>
              <w:t xml:space="preserve">Scope 3</w:t>
            </w:r>
          </w:p>
        </w:tc>
        <w:tc>
          <w:tcPr/>
          <w:p>
            <w:pPr>
              <w:pStyle w:val="Compact"/>
              <w:jc w:val="left"/>
            </w:pPr>
            <w:r>
              <w:t xml:space="preserve">Upstream – Transportation and Distribution (Main Leg)</w:t>
            </w:r>
          </w:p>
        </w:tc>
        <w:tc>
          <w:tcPr/>
          <w:p>
            <w:pPr>
              <w:pStyle w:val="Compact"/>
              <w:jc w:val="left"/>
            </w:pPr>
            <w:r>
              <w:t xml:space="preserve">0.1408</w:t>
            </w:r>
          </w:p>
        </w:tc>
      </w:tr>
      <w:tr>
        <w:tc>
          <w:tcPr/>
          <w:p>
            <w:pPr>
              <w:pStyle w:val="Compact"/>
              <w:jc w:val="left"/>
            </w:pPr>
            <w:r>
              <w:t xml:space="preserve">Scope 3</w:t>
            </w:r>
          </w:p>
        </w:tc>
        <w:tc>
          <w:tcPr/>
          <w:p>
            <w:pPr>
              <w:pStyle w:val="Compact"/>
              <w:jc w:val="left"/>
            </w:pPr>
            <w:r>
              <w:t xml:space="preserve">Downstream – Transportation and Distribution (Last-Mile)</w:t>
            </w:r>
          </w:p>
        </w:tc>
        <w:tc>
          <w:tcPr/>
          <w:p>
            <w:pPr>
              <w:pStyle w:val="Compact"/>
              <w:jc w:val="left"/>
            </w:pPr>
            <w:r>
              <w:t xml:space="preserve">0.0176</w:t>
            </w:r>
          </w:p>
        </w:tc>
      </w:tr>
      <w:tr>
        <w:tc>
          <w:tcPr/>
          <w:p>
            <w:pPr>
              <w:pStyle w:val="Compact"/>
              <w:jc w:val="left"/>
            </w:pPr>
            <w:r>
              <w:t xml:space="preserve">Scope 3</w:t>
            </w:r>
          </w:p>
        </w:tc>
        <w:tc>
          <w:tcPr/>
          <w:p>
            <w:pPr>
              <w:pStyle w:val="Compact"/>
              <w:jc w:val="left"/>
            </w:pPr>
            <w:r>
              <w:t xml:space="preserve">Downstream – Use of Sold Products</w:t>
            </w:r>
          </w:p>
        </w:tc>
        <w:tc>
          <w:tcPr/>
          <w:p>
            <w:pPr>
              <w:pStyle w:val="Compact"/>
              <w:jc w:val="left"/>
            </w:pPr>
            <w:r>
              <w:t xml:space="preserve">12.50</w:t>
            </w:r>
          </w:p>
        </w:tc>
      </w:tr>
      <w:tr>
        <w:tc>
          <w:tcPr/>
          <w:p>
            <w:pPr>
              <w:pStyle w:val="Compact"/>
              <w:jc w:val="left"/>
            </w:pPr>
            <w:r>
              <w:t xml:space="preserve">Scope 3</w:t>
            </w:r>
          </w:p>
        </w:tc>
        <w:tc>
          <w:tcPr/>
          <w:p>
            <w:pPr>
              <w:pStyle w:val="Compact"/>
              <w:jc w:val="left"/>
            </w:pPr>
            <w:r>
              <w:t xml:space="preserve">Downstream – End-of-Life Treatment (Net, including credits)</w:t>
            </w:r>
          </w:p>
        </w:tc>
        <w:tc>
          <w:tcPr/>
          <w:p>
            <w:pPr>
              <w:pStyle w:val="Compact"/>
              <w:jc w:val="left"/>
            </w:pPr>
            <w:r>
              <w:t xml:space="preserve">-3.2156</w:t>
            </w:r>
          </w:p>
        </w:tc>
      </w:tr>
      <w:tr>
        <w:tc>
          <w:tcPr>
            <w:gridSpan w:val="2"/>
          </w:tcPr>
          <w:p>
            <w:pPr>
              <w:pStyle w:val="Compact"/>
              <w:jc w:val="left"/>
            </w:pPr>
            <w:r>
              <w:t xml:space="preserve">Total Scope 3 Emissions</w:t>
            </w:r>
          </w:p>
        </w:tc>
        <w:tc>
          <w:tcPr/>
          <w:p>
            <w:pPr>
              <w:pStyle w:val="Compact"/>
              <w:jc w:val="left"/>
            </w:pPr>
            <w:r>
              <w:t xml:space="preserve">15.2478</w:t>
            </w:r>
          </w:p>
        </w:tc>
      </w:tr>
      <w:tr>
        <w:tc>
          <w:tcPr>
            <w:gridSpan w:val="2"/>
          </w:tcPr>
          <w:p>
            <w:pPr>
              <w:pStyle w:val="Compact"/>
              <w:jc w:val="left"/>
            </w:pPr>
            <w:r>
              <w:t xml:space="preserve">TOTAL PRODUCT CARBON FOOTPRINT (PCF)</w:t>
            </w:r>
          </w:p>
        </w:tc>
        <w:tc>
          <w:tcPr/>
          <w:p>
            <w:pPr>
              <w:pStyle w:val="Compact"/>
              <w:jc w:val="left"/>
            </w:pPr>
            <w:r>
              <w:t xml:space="preserve">15.6978 kgCO2e</w:t>
            </w:r>
          </w:p>
        </w:tc>
      </w:tr>
    </w:tbl>
    <w:p>
      <w:r>
        <w:pict>
          <v:rect style="width:0;height:1.5pt" o:hralign="center" o:hrstd="t" o:hr="t"/>
        </w:pict>
      </w:r>
    </w:p>
    <w:bookmarkEnd w:id="43"/>
    <w:bookmarkEnd w:id="44"/>
    <w:bookmarkStart w:id="47" w:name="review-report"/>
    <w:p>
      <w:pPr>
        <w:pStyle w:val="Heading2"/>
      </w:pPr>
      <w:r>
        <w:t xml:space="preserve">5. Review &amp; Report</w:t>
      </w:r>
    </w:p>
    <w:bookmarkStart w:id="45" w:name="hotspots-identification"/>
    <w:p>
      <w:pPr>
        <w:pStyle w:val="Heading3"/>
      </w:pPr>
      <w:r>
        <w:t xml:space="preserve">Hotspots Identification:</w:t>
      </w:r>
    </w:p>
    <w:p>
      <w:pPr>
        <w:pStyle w:val="FirstParagraph"/>
      </w:pPr>
      <w:r>
        <w:t xml:space="preserve">The PCF analysis for lmvnrwilln reveals the following emission hotspots:</w:t>
      </w:r>
    </w:p>
    <w:p>
      <w:pPr>
        <w:numPr>
          <w:ilvl w:val="0"/>
          <w:numId w:val="1013"/>
        </w:numPr>
        <w:pStyle w:val="Compact"/>
      </w:pPr>
      <w:r>
        <w:rPr>
          <w:bCs/>
          <w:b/>
        </w:rPr>
        <w:t xml:space="preserve">Use Phase (12.5 kgCO2e):</w:t>
      </w:r>
      <w:r>
        <w:t xml:space="preserve"> </w:t>
      </w:r>
      <w:r>
        <w:t xml:space="preserve">This is the most significant contributor to the product\'s footprint, primarily due to the energy consumption over its 5-year lifespan. This highlights the importance of energy efficiency during product operation and the impact of the user\'s electricity grid mix.</w:t>
      </w:r>
    </w:p>
    <w:p>
      <w:pPr>
        <w:numPr>
          <w:ilvl w:val="0"/>
          <w:numId w:val="1013"/>
        </w:numPr>
        <w:pStyle w:val="Compact"/>
      </w:pPr>
      <w:r>
        <w:rPr>
          <w:bCs/>
          <w:b/>
        </w:rPr>
        <w:t xml:space="preserve">Purchased Goods &amp; Services (Materials - 5.805 kgCO2e):</w:t>
      </w:r>
      <w:r>
        <w:t xml:space="preserve"> </w:t>
      </w:r>
      <w:r>
        <w:t xml:space="preserve">The production of raw materials, especially the Printed Circuit Board and Aluminum Casing, represents a substantial upstream impact. Optimizing material selection, sourcing from lower-impact suppliers, and lightweighting could yield significant reductions.</w:t>
      </w:r>
    </w:p>
    <w:p>
      <w:pPr>
        <w:numPr>
          <w:ilvl w:val="0"/>
          <w:numId w:val="1013"/>
        </w:numPr>
        <w:pStyle w:val="Compact"/>
      </w:pPr>
      <w:r>
        <w:rPr>
          <w:bCs/>
          <w:b/>
        </w:rPr>
        <w:t xml:space="preserve">End-of-Life (Net -3.2156 kgCO2e):</w:t>
      </w:r>
      <w:r>
        <w:t xml:space="preserve"> </w:t>
      </w:r>
      <w:r>
        <w:t xml:space="preserve">The robust recyclability and presence of circular/take-back programs provide a significant net credit, demonstrating the positive impact of circular economy principles. This is a strength for lmvnrwilln.</w:t>
      </w:r>
    </w:p>
    <w:p>
      <w:pPr>
        <w:numPr>
          <w:ilvl w:val="0"/>
          <w:numId w:val="1013"/>
        </w:numPr>
        <w:pStyle w:val="Compact"/>
      </w:pPr>
      <w:r>
        <w:rPr>
          <w:bCs/>
          <w:b/>
        </w:rPr>
        <w:t xml:space="preserve">Production Energy (Scope 2 - 0.45 kgCO2e):</w:t>
      </w:r>
      <w:r>
        <w:t xml:space="preserve"> </w:t>
      </w:r>
      <w:r>
        <w:t xml:space="preserve">While not the largest hotspot, increasing the renewable energy share beyond 70% in the production facility in China would further reduce this impact.</w:t>
      </w:r>
    </w:p>
    <w:bookmarkEnd w:id="45"/>
    <w:bookmarkStart w:id="46" w:name="reliability-and-limitations"/>
    <w:p>
      <w:pPr>
        <w:pStyle w:val="Heading3"/>
      </w:pPr>
      <w:r>
        <w:t xml:space="preserve">Reliability and Limitations:</w:t>
      </w:r>
    </w:p>
    <w:p>
      <w:pPr>
        <w:pStyle w:val="FirstParagraph"/>
      </w:pPr>
      <w:r>
        <w:t xml:space="preserve">The reliability of this PCF analysis is generally high, given the adherence to the GHG Protocol and the detailed input parameters. However, certain limitations inherent in any modeling exercise apply:</w:t>
      </w:r>
    </w:p>
    <w:p>
      <w:pPr>
        <w:numPr>
          <w:ilvl w:val="0"/>
          <w:numId w:val="1014"/>
        </w:numPr>
        <w:pStyle w:val="Compact"/>
      </w:pPr>
      <w:r>
        <w:rPr>
          <w:bCs/>
          <w:b/>
        </w:rPr>
        <w:t xml:space="preserve">Assumed Data for Variables:</w:t>
      </w:r>
      <w:r>
        <w:t xml:space="preserve"> </w:t>
      </w:r>
      <w:r>
        <w:t xml:space="preserve">Where specific numerical data was indicated by variable names (e.g., `ljudfpot`, `lfnvmwpxnj`, `fjjsoekuzd`), illustrative yet realistic values were assumed. Variations in actual supplier data, transport routes, or energy mixes could alter the results.</w:t>
      </w:r>
    </w:p>
    <w:p>
      <w:pPr>
        <w:numPr>
          <w:ilvl w:val="0"/>
          <w:numId w:val="1014"/>
        </w:numPr>
        <w:pStyle w:val="Compact"/>
      </w:pPr>
      <w:r>
        <w:rPr>
          <w:bCs/>
          <w:b/>
        </w:rPr>
        <w:t xml:space="preserve">Emission Factor Specificity:</w:t>
      </w:r>
      <w:r>
        <w:t xml:space="preserve"> </w:t>
      </w:r>
      <w:r>
        <w:t xml:space="preserve">While industry-standard emission factors were used, these are often averages. Supplier-specific, verified emission factors would provide even higher accuracy.</w:t>
      </w:r>
    </w:p>
    <w:p>
      <w:pPr>
        <w:numPr>
          <w:ilvl w:val="0"/>
          <w:numId w:val="1014"/>
        </w:numPr>
        <w:pStyle w:val="Compact"/>
      </w:pPr>
      <w:r>
        <w:rPr>
          <w:bCs/>
          <w:b/>
        </w:rPr>
        <w:t xml:space="preserve">Dynamic Energy Grids:</w:t>
      </w:r>
      <w:r>
        <w:t xml:space="preserve"> </w:t>
      </w:r>
      <w:r>
        <w:t xml:space="preserve">Electricity grid emission factors can fluctuate. The factors used represent recent averages for China and a general estimate for Europe.</w:t>
      </w:r>
    </w:p>
    <w:p>
      <w:pPr>
        <w:numPr>
          <w:ilvl w:val="0"/>
          <w:numId w:val="1014"/>
        </w:numPr>
        <w:pStyle w:val="Compact"/>
      </w:pPr>
      <w:r>
        <w:rPr>
          <w:bCs/>
          <w:b/>
        </w:rPr>
        <w:t xml:space="preserve">Boundary Conditions:</w:t>
      </w:r>
      <w:r>
        <w:t xml:space="preserve"> </w:t>
      </w:r>
      <w:r>
        <w:t xml:space="preserve">The "factory_gate" boundary for production means certain organizational overheads are outside this product-level assessment.</w:t>
      </w:r>
    </w:p>
    <w:p>
      <w:pPr>
        <w:pStyle w:val="FirstParagraph"/>
      </w:pPr>
      <w:r>
        <w:t xml:space="preserve">Overall, the PCF for "lmvnrwilln" is determined to be</w:t>
      </w:r>
      <w:r>
        <w:t xml:space="preserve"> </w:t>
      </w:r>
      <w:r>
        <w:rPr>
          <w:bCs/>
          <w:b/>
        </w:rPr>
        <w:t xml:space="preserve">15.6978 kgCO2e per unit</w:t>
      </w:r>
      <w:r>
        <w:t xml:space="preserve">, with significant opportunities for reduction focusing on the use phase and continuous improvement in material sourcing.</w:t>
      </w:r>
    </w:p>
    <w:p>
      <w:r>
        <w:pict>
          <v:rect style="width:0;height:1.5pt" o:hralign="center" o:hrstd="t" o:hr="t"/>
        </w:pic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lmvnrwilln</dc:title>
  <dc:creator/>
  <dc:description>High-detail Product Carbon Footprint (PCF) analysis report for lmvnrwilln, conducted by Senior Sustainability Consultant stdnephryp for ifwkivznnx, adhering to GHG Protocol and 2026 LSR Update requirements.</dc:description>
  <dc:language>en</dc:language>
  <cp:keywords/>
  <dcterms:created xsi:type="dcterms:W3CDTF">2026-07-15T02:55:21Z</dcterms:created>
  <dcterms:modified xsi:type="dcterms:W3CDTF">2026-07-15T02:55:21Z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