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llrzuiwjqn</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llrzuiwjqn</w:t>
      </w:r>
    </w:p>
    <w:p>
      <w:pPr>
        <w:pStyle w:val="BodyText"/>
      </w:pPr>
      <w:r>
        <w:rPr>
          <w:bCs/>
          <w:b/>
        </w:rPr>
        <w:t xml:space="preserve">Company Name:</w:t>
      </w:r>
      <w:r>
        <w:t xml:space="preserve"> </w:t>
      </w:r>
      <w:r>
        <w:t xml:space="preserve">gwngvrfqpj</w:t>
      </w:r>
    </w:p>
    <w:p>
      <w:pPr>
        <w:pStyle w:val="BodyText"/>
      </w:pPr>
      <w:r>
        <w:rPr>
          <w:bCs/>
          <w:b/>
        </w:rPr>
        <w:t xml:space="preserve">Senior Sustainability Consultant:</w:t>
      </w:r>
      <w:r>
        <w:t xml:space="preserve"> </w:t>
      </w:r>
      <w:r>
        <w:t xml:space="preserve">vtxkxoevkl</w:t>
      </w:r>
    </w:p>
    <w:p>
      <w:pPr>
        <w:pStyle w:val="BodyText"/>
      </w:pPr>
      <w:r>
        <w:rPr>
          <w:bCs/>
          <w:b/>
        </w:rPr>
        <w:t xml:space="preserve">Accounting Standard:</w:t>
      </w:r>
      <w:r>
        <w:t xml:space="preserve"> </w:t>
      </w:r>
      <w:r>
        <w:t xml:space="preserve">GHG Protocol</w:t>
      </w:r>
    </w:p>
    <w:p>
      <w:pPr>
        <w:pStyle w:val="BodyText"/>
      </w:pPr>
      <w:r>
        <w:t xml:space="preserve">Disclaimer: This report is generated based on available data and industry standards, including specific parameters provided by the client. While utmost care has been taken to ensure accuracy, results are indicative and subject to the quality and completeness of underlying data and selected emission factors.</w:t>
      </w:r>
    </w:p>
    <w:bookmarkEnd w:id="20"/>
    <w:bookmarkStart w:id="47" w:name="X45da3121f9f867ded7998d750708458e14afe05"/>
    <w:p>
      <w:pPr>
        <w:pStyle w:val="Heading1"/>
      </w:pPr>
      <w:r>
        <w:t xml:space="preserve">Product Carbon Footprint Analysis: llrzuiwjqn</w:t>
      </w:r>
    </w:p>
    <w:p>
      <w:pPr>
        <w:pStyle w:val="FirstParagraph"/>
      </w:pPr>
      <w:r>
        <w:rPr>
          <w:bCs/>
          <w:b/>
        </w:rPr>
        <w:t xml:space="preserve">Generated Date:</w:t>
      </w:r>
      <w:r>
        <w:t xml:space="preserve"> </w:t>
      </w:r>
      <w:r>
        <w:t xml:space="preserve">May 20,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 llrzuiwjqn, manufactured by gwngvrfqpj. Conducted by Senior Sustainability Consultant vtxkxoevkl, this analysis adheres strictly to the Greenhouse Gas (GHG) Protocol. The study employs a cradle-to-grave approach, encompassing material acquisition, manufacturing, transportation, use-phase, and end-of-life scenarios. The total carbon footprint for the functional unit of 1.0 unit of llrzuiwjqn is calculated, identifying key emission hotspots across the product lifecycle and proposing strategic areas for reduction. The analysis incorporates specific material, energy, logistics, and end-of-life data provided, alongside industry-standard emission factors.</w:t>
      </w:r>
    </w:p>
    <w:p>
      <w:r>
        <w:pict>
          <v:rect style="width:0;height:1.5pt" o:hralign="center" o:hrstd="t" o:hr="t"/>
        </w:pict>
      </w:r>
    </w:p>
    <w:bookmarkEnd w:id="21"/>
    <w:bookmarkStart w:id="23" w:name="introduction"/>
    <w:p>
      <w:pPr>
        <w:pStyle w:val="Heading2"/>
      </w:pPr>
      <w:r>
        <w:t xml:space="preserve">Introduction</w:t>
      </w:r>
    </w:p>
    <w:p>
      <w:pPr>
        <w:pStyle w:val="FirstParagraph"/>
      </w:pPr>
      <w:r>
        <w:t xml:space="preserve">Understanding and quantifying the environmental impact of products is a critical step towards achieving sustainability goals. This Product Carbon Footprint (PCF) analysis provides a comprehensive assessment of the greenhouse gas (GHG) emissions associated with the product llrzuiwjqn throughout its entire lifecycle. The analysis is performed for gwngvrfqpj by Senior Sustainability Consultant vtxkxoevkl, in strict accordance with the GHG Protocol, including the latest 2026 updates for Scope 3 reporting and the Land Sector and Removals (LSR) Standard.</w:t>
      </w:r>
    </w:p>
    <w:bookmarkStart w:id="22" w:name="ghg-protocol-adherence-2026-updates"/>
    <w:p>
      <w:pPr>
        <w:pStyle w:val="Heading3"/>
      </w:pPr>
      <w:r>
        <w:t xml:space="preserve">GHG Protocol Adherence (2026 Updates)</w:t>
      </w:r>
    </w:p>
    <w:p>
      <w:pPr>
        <w:numPr>
          <w:ilvl w:val="0"/>
          <w:numId w:val="1001"/>
        </w:numPr>
        <w:pStyle w:val="Compact"/>
      </w:pPr>
      <w:r>
        <w:rPr>
          <w:bCs/>
          <w:b/>
        </w:rPr>
        <w:t xml:space="preserve">Accounting Standard: GHG Protocol.</w:t>
      </w:r>
      <w:r>
        <w:t xml:space="preserve"> </w:t>
      </w:r>
      <w:r>
        <w:t xml:space="preserve">This report rigorously follows the GHG Protocol standards for corporate accounting and reporting, ensuring consistency, transparency, and comparability of emissions data.</w:t>
      </w:r>
    </w:p>
    <w:p>
      <w:pPr>
        <w:numPr>
          <w:ilvl w:val="0"/>
          <w:numId w:val="1001"/>
        </w:numPr>
        <w:pStyle w:val="Compact"/>
      </w:pPr>
      <w:r>
        <w:rPr>
          <w:bCs/>
          <w:b/>
        </w:rPr>
        <w:t xml:space="preserve">2026 LSR Update:</w:t>
      </w:r>
      <w:r>
        <w:t xml:space="preserve"> </w:t>
      </w:r>
      <w:r>
        <w:t xml:space="preserve">The Land Sector and Removals (LSR) Standard, released on January 30, 2026, and effective January 1, 2027, has been considered in this analysis. This standard provides methods to quantify, report, and track land emissions, CO₂ removals, and other key metrics for companies with significant land sector activities. While direct land-use change for the product materials is assumed to be covered by upstream suppliers and reflected in their emission factors, any explicit carbon removals or land management activities directly attributable to gwngvrfqpj within the defined system boundary would be accounted for under this standard. The forthcoming guidance in Q2 2026 will further refine implementation.</w:t>
      </w:r>
    </w:p>
    <w:p>
      <w:pPr>
        <w:numPr>
          <w:ilvl w:val="0"/>
          <w:numId w:val="1001"/>
        </w:numPr>
        <w:pStyle w:val="Compact"/>
      </w:pPr>
      <w:r>
        <w:rPr>
          <w:bCs/>
          <w:b/>
        </w:rPr>
        <w:t xml:space="preserve">Scope 3 Compliance:</w:t>
      </w:r>
      <w:r>
        <w:t xml:space="preserve"> </w:t>
      </w:r>
      <w:r>
        <w:t xml:space="preserve">As per 2026 requirements, this report aims for at least 95% coverage for Scope 3 reporting. This includes a detailed breakdown of upstream and downstream value chain emissions, moving towards financial-grade, auditable data. The analysis prioritizes primary data where available and uses high-quality secondary data to ensure comprehensive coverage.</w:t>
      </w:r>
    </w:p>
    <w:p>
      <w:r>
        <w:pict>
          <v:rect style="width:0;height:1.5pt" o:hralign="center" o:hrstd="t" o:hr="t"/>
        </w:pict>
      </w:r>
    </w:p>
    <w:bookmarkEnd w:id="22"/>
    <w:bookmarkEnd w:id="23"/>
    <w:bookmarkStart w:id="31" w:name="methodology"/>
    <w:p>
      <w:pPr>
        <w:pStyle w:val="Heading2"/>
      </w:pPr>
      <w:r>
        <w:t xml:space="preserve">Methodology</w:t>
      </w:r>
    </w:p>
    <w:p>
      <w:pPr>
        <w:pStyle w:val="FirstParagraph"/>
      </w:pPr>
      <w:r>
        <w:t xml:space="preserve">The PCF analysis for llrzuiwjqn follows a five-step methodology as prescribed by international best practices and the GHG Protocol.</w:t>
      </w:r>
    </w:p>
    <w:bookmarkStart w:id="24" w:name="define-scope"/>
    <w:p>
      <w:pPr>
        <w:pStyle w:val="Heading3"/>
      </w:pPr>
      <w:r>
        <w:t xml:space="preserve">1. Define Scope</w:t>
      </w:r>
    </w:p>
    <w:p>
      <w:pPr>
        <w:numPr>
          <w:ilvl w:val="0"/>
          <w:numId w:val="1002"/>
        </w:numPr>
        <w:pStyle w:val="Compact"/>
      </w:pPr>
      <w:r>
        <w:rPr>
          <w:bCs/>
          <w:b/>
        </w:rPr>
        <w:t xml:space="preserve">Functional Unit:</w:t>
      </w:r>
      <w:r>
        <w:t xml:space="preserve"> </w:t>
      </w:r>
      <w:r>
        <w:t xml:space="preserve">The functional unit for this analysis is defined as</w:t>
      </w:r>
      <w:r>
        <w:t xml:space="preserve"> </w:t>
      </w:r>
      <w:r>
        <w:rPr>
          <w:bCs/>
          <w:b/>
        </w:rPr>
        <w:t xml:space="preserve">1.0 unit of llrzuiwjqn</w:t>
      </w:r>
      <w:r>
        <w:t xml:space="preserve">, providing a consistent basis for quantification and comparison.</w:t>
      </w:r>
    </w:p>
    <w:p>
      <w:pPr>
        <w:numPr>
          <w:ilvl w:val="0"/>
          <w:numId w:val="1002"/>
        </w:numPr>
        <w:pStyle w:val="Compact"/>
      </w:pPr>
      <w:r>
        <w:rPr>
          <w:bCs/>
          <w:b/>
        </w:rPr>
        <w:t xml:space="preserve">System Boundary:</w:t>
      </w:r>
      <w:r>
        <w:t xml:space="preserve"> </w:t>
      </w:r>
      <w:r>
        <w:t xml:space="preserve">The system boundary is set as</w:t>
      </w:r>
      <w:r>
        <w:t xml:space="preserve"> </w:t>
      </w:r>
      <w:r>
        <w:rPr>
          <w:bCs/>
          <w:b/>
        </w:rPr>
        <w:t xml:space="preserve">factory_gate</w:t>
      </w:r>
      <w:r>
        <w:t xml:space="preserve">, meaning it encompasses all processes from raw material extraction ("cradle") up to the point the finished product leaves the factory gate, including packaging. For a complete "cradle-to-grave" assessment as performed, this boundary is extended to include transportation to the customer, the product\'s use phase, and its end-of-life treatment.</w:t>
      </w:r>
    </w:p>
    <w:p>
      <w:pPr>
        <w:numPr>
          <w:ilvl w:val="0"/>
          <w:numId w:val="1002"/>
        </w:numPr>
        <w:pStyle w:val="Compact"/>
      </w:pPr>
      <w:r>
        <w:rPr>
          <w:bCs/>
          <w:b/>
        </w:rPr>
        <w:t xml:space="preserve">Geographic Scope:</w:t>
      </w:r>
    </w:p>
    <w:p>
      <w:pPr>
        <w:numPr>
          <w:ilvl w:val="1"/>
          <w:numId w:val="1003"/>
        </w:numPr>
        <w:pStyle w:val="Compact"/>
      </w:pPr>
      <w:r>
        <w:rPr>
          <w:bCs/>
          <w:b/>
        </w:rPr>
        <w:t xml:space="preserve">Final Production Country:</w:t>
      </w:r>
      <w:r>
        <w:t xml:space="preserve"> </w:t>
      </w:r>
      <w:r>
        <w:t xml:space="preserve">China</w:t>
      </w:r>
    </w:p>
    <w:p>
      <w:pPr>
        <w:numPr>
          <w:ilvl w:val="1"/>
          <w:numId w:val="1003"/>
        </w:numPr>
        <w:pStyle w:val="Compact"/>
      </w:pPr>
      <w:r>
        <w:rPr>
          <w:bCs/>
          <w:b/>
        </w:rPr>
        <w:t xml:space="preserve">Supply Chain Focus:</w:t>
      </w:r>
      <w:r>
        <w:t xml:space="preserve"> </w:t>
      </w:r>
      <w:r>
        <w:t xml:space="preserve">Europe Focused</w:t>
      </w:r>
    </w:p>
    <w:p>
      <w:pPr>
        <w:numPr>
          <w:ilvl w:val="0"/>
          <w:numId w:val="1002"/>
        </w:numPr>
        <w:pStyle w:val="Compact"/>
      </w:pPr>
      <w:r>
        <w:rPr>
          <w:bCs/>
          <w:b/>
        </w:rPr>
        <w:t xml:space="preserve">Allocation:</w:t>
      </w:r>
      <w:r>
        <w:t xml:space="preserve"> </w:t>
      </w:r>
      <w:r>
        <w:t xml:space="preserve">Emissions are allocated to the functional unit based on mass and economic allocation principles, as appropriate for multi-output processes, ensuring that the environmental burden is fairly distributed.</w:t>
      </w:r>
    </w:p>
    <w:bookmarkEnd w:id="24"/>
    <w:bookmarkStart w:id="30" w:name="X668a29dea6996859d52024a913312988ccfa3c9"/>
    <w:p>
      <w:pPr>
        <w:pStyle w:val="Heading3"/>
      </w:pPr>
      <w:r>
        <w:t xml:space="preserve">2. Map Lifecycle (LCI inventory stages) &amp; 3. Collect Data</w:t>
      </w:r>
    </w:p>
    <w:p>
      <w:pPr>
        <w:pStyle w:val="FirstParagraph"/>
      </w:pPr>
      <w:r>
        <w:t xml:space="preserve">This section details the inventory stages and the data collected, covering material inputs, manufacturing energy, transportation, use phase, and end-of-life. Emission factors are drawn from industry-standard databases like Ecoinvent and DEFRA (or similar high-quality sources) where specific data is not available, using CO2 equivalent (CO2e) as the primary metric.</w:t>
      </w:r>
    </w:p>
    <w:bookmarkStart w:id="25" w:name="X11459a5070ee520f62aa698674ea9b871adf4c1"/>
    <w:p>
      <w:pPr>
        <w:pStyle w:val="Heading4"/>
      </w:pPr>
      <w:r>
        <w:t xml:space="preserve">Detailed Bill of Materials (BOM) for llrzuiwjqn (zvuktmtm)</w:t>
      </w:r>
    </w:p>
    <w:p>
      <w:pPr>
        <w:pStyle w:val="FirstParagraph"/>
      </w:pPr>
      <w:r>
        <w:t xml:space="preserve">The following Bill of Materials provides a high-accuracy basis for calculating material-related emissions.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Forming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12.0</w:t>
            </w:r>
          </w:p>
        </w:tc>
        <w:tc>
          <w:tcPr/>
          <w:p>
            <w:pPr>
              <w:pStyle w:val="Compact"/>
              <w:jc w:val="left"/>
            </w:pPr>
            <w:r>
              <w:t xml:space="preserve">6.00</w:t>
            </w:r>
          </w:p>
        </w:tc>
      </w:tr>
      <w:tr>
        <w:tc>
          <w:tcPr/>
          <w:p>
            <w:pPr>
              <w:pStyle w:val="Compact"/>
              <w:jc w:val="left"/>
            </w:pPr>
            <w:r>
              <w:t xml:space="preserve">2</w:t>
            </w:r>
          </w:p>
        </w:tc>
        <w:tc>
          <w:tcPr/>
          <w:p>
            <w:pPr>
              <w:pStyle w:val="Compact"/>
              <w:jc w:val="left"/>
            </w:pPr>
            <w:r>
              <w:t xml:space="preserve">ABS Plastic Enclosure</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3.5</w:t>
            </w:r>
          </w:p>
        </w:tc>
        <w:tc>
          <w:tcPr/>
          <w:p>
            <w:pPr>
              <w:pStyle w:val="Compact"/>
              <w:jc w:val="left"/>
            </w:pPr>
            <w:r>
              <w:t xml:space="preserve">1.05</w:t>
            </w:r>
          </w:p>
        </w:tc>
      </w:tr>
      <w:tr>
        <w:tc>
          <w:tcPr/>
          <w:p>
            <w:pPr>
              <w:pStyle w:val="Compact"/>
              <w:jc w:val="left"/>
            </w:pPr>
            <w:r>
              <w:t xml:space="preserve">3</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1.0</w:t>
            </w:r>
          </w:p>
        </w:tc>
        <w:tc>
          <w:tcPr/>
          <w:p>
            <w:pPr>
              <w:pStyle w:val="Compact"/>
              <w:jc w:val="left"/>
            </w:pPr>
            <w:r>
              <w:t xml:space="preserve">unit</w:t>
            </w:r>
          </w:p>
        </w:tc>
        <w:tc>
          <w:tcPr/>
          <w:p>
            <w:pPr>
              <w:pStyle w:val="Compact"/>
              <w:jc w:val="left"/>
            </w:pPr>
            <w:r>
              <w:t xml:space="preserve">2.0</w:t>
            </w:r>
          </w:p>
        </w:tc>
        <w:tc>
          <w:tcPr/>
          <w:p>
            <w:pPr>
              <w:pStyle w:val="Compact"/>
              <w:jc w:val="left"/>
            </w:pPr>
            <w:r>
              <w:t xml:space="preserve">2.00</w:t>
            </w:r>
          </w:p>
        </w:tc>
      </w:tr>
      <w:tr>
        <w:tc>
          <w:tcPr/>
          <w:p>
            <w:pPr>
              <w:pStyle w:val="Compact"/>
              <w:jc w:val="left"/>
            </w:pPr>
            <w:r>
              <w:t xml:space="preserve">4</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5.0</w:t>
            </w:r>
          </w:p>
        </w:tc>
        <w:tc>
          <w:tcPr/>
          <w:p>
            <w:pPr>
              <w:pStyle w:val="Compact"/>
              <w:jc w:val="left"/>
            </w:pPr>
            <w:r>
              <w:t xml:space="preserve">0.50</w:t>
            </w:r>
          </w:p>
        </w:tc>
      </w:tr>
      <w:tr>
        <w:tc>
          <w:tcPr/>
          <w:p>
            <w:pPr>
              <w:pStyle w:val="Compact"/>
              <w:jc w:val="left"/>
            </w:pPr>
            <w:r>
              <w:t xml:space="preserve">5</w:t>
            </w:r>
          </w:p>
        </w:tc>
        <w:tc>
          <w:tcPr/>
          <w:p>
            <w:pPr>
              <w:pStyle w:val="Compact"/>
              <w:jc w:val="left"/>
            </w:pPr>
            <w:r>
              <w:t xml:space="preserve">Lithium-ion Battery Pack</w:t>
            </w:r>
          </w:p>
        </w:tc>
        <w:tc>
          <w:tcPr/>
          <w:p>
            <w:pPr>
              <w:pStyle w:val="Compact"/>
              <w:jc w:val="left"/>
            </w:pPr>
            <w:r>
              <w:t xml:space="preserve">Battery</w:t>
            </w:r>
          </w:p>
        </w:tc>
        <w:tc>
          <w:tcPr/>
          <w:p>
            <w:pPr>
              <w:pStyle w:val="Compact"/>
              <w:jc w:val="left"/>
            </w:pPr>
            <w:r>
              <w:t xml:space="preserve">Manufacturing</w:t>
            </w:r>
          </w:p>
        </w:tc>
        <w:tc>
          <w:tcPr/>
          <w:p>
            <w:pPr>
              <w:pStyle w:val="Compact"/>
              <w:jc w:val="left"/>
            </w:pPr>
            <w:r>
              <w:t xml:space="preserve">0.2</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3.00</w:t>
            </w:r>
          </w:p>
        </w:tc>
      </w:tr>
      <w:tr>
        <w:tc>
          <w:tcPr/>
          <w:p>
            <w:pPr>
              <w:pStyle w:val="Compact"/>
              <w:jc w:val="left"/>
            </w:pPr>
            <w:r>
              <w:t xml:space="preserve">6</w:t>
            </w:r>
          </w:p>
        </w:tc>
        <w:tc>
          <w:tcPr/>
          <w:p>
            <w:pPr>
              <w:pStyle w:val="Compact"/>
              <w:jc w:val="left"/>
            </w:pPr>
            <w:r>
              <w:t xml:space="preserve">Glass Display</w:t>
            </w:r>
          </w:p>
        </w:tc>
        <w:tc>
          <w:tcPr/>
          <w:p>
            <w:pPr>
              <w:pStyle w:val="Compact"/>
              <w:jc w:val="left"/>
            </w:pPr>
            <w:r>
              <w:t xml:space="preserve">Glass</w:t>
            </w:r>
          </w:p>
        </w:tc>
        <w:tc>
          <w:tcPr/>
          <w:p>
            <w:pPr>
              <w:pStyle w:val="Compact"/>
              <w:jc w:val="left"/>
            </w:pPr>
            <w:r>
              <w:t xml:space="preserve">Processing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1.2</w:t>
            </w:r>
          </w:p>
        </w:tc>
        <w:tc>
          <w:tcPr/>
          <w:p>
            <w:pPr>
              <w:pStyle w:val="Compact"/>
              <w:jc w:val="left"/>
            </w:pPr>
            <w:r>
              <w:t xml:space="preserve">0.18</w:t>
            </w:r>
          </w:p>
        </w:tc>
      </w:tr>
      <w:tr>
        <w:tc>
          <w:tcPr/>
          <w:p>
            <w:pPr>
              <w:pStyle w:val="Compact"/>
              <w:jc w:val="left"/>
            </w:pPr>
            <w:r>
              <w:t xml:space="preserve">7</w:t>
            </w:r>
          </w:p>
        </w:tc>
        <w:tc>
          <w:tcPr/>
          <w:p>
            <w:pPr>
              <w:pStyle w:val="Compact"/>
              <w:jc w:val="left"/>
            </w:pPr>
            <w:r>
              <w:t xml:space="preserve">Packaging Cardboard</w:t>
            </w:r>
          </w:p>
        </w:tc>
        <w:tc>
          <w:tcPr/>
          <w:p>
            <w:pPr>
              <w:pStyle w:val="Compact"/>
              <w:jc w:val="left"/>
            </w:pPr>
            <w:r>
              <w:t xml:space="preserve">Paper/Board</w:t>
            </w:r>
          </w:p>
        </w:tc>
        <w:tc>
          <w:tcPr/>
          <w:p>
            <w:pPr>
              <w:pStyle w:val="Compact"/>
              <w:jc w:val="left"/>
            </w:pPr>
            <w:r>
              <w:t xml:space="preserve">Forming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1.0</w:t>
            </w:r>
          </w:p>
        </w:tc>
        <w:tc>
          <w:tcPr/>
          <w:p>
            <w:pPr>
              <w:pStyle w:val="Compact"/>
              <w:jc w:val="left"/>
            </w:pPr>
            <w:r>
              <w:t xml:space="preserve">0.20</w:t>
            </w:r>
          </w:p>
        </w:tc>
      </w:tr>
      <w:tr>
        <w:tc>
          <w:tcPr/>
          <w:p>
            <w:pPr>
              <w:pStyle w:val="Compact"/>
              <w:jc w:val="left"/>
            </w:pPr>
            <w:r>
              <w:t xml:space="preserve">8</w:t>
            </w:r>
          </w:p>
        </w:tc>
        <w:tc>
          <w:tcPr/>
          <w:p>
            <w:pPr>
              <w:pStyle w:val="Compact"/>
              <w:jc w:val="left"/>
            </w:pPr>
            <w:r>
              <w:t xml:space="preserve">Adhesive/Sealants</w:t>
            </w:r>
          </w:p>
        </w:tc>
        <w:tc>
          <w:tcPr/>
          <w:p>
            <w:pPr>
              <w:pStyle w:val="Compact"/>
              <w:jc w:val="left"/>
            </w:pPr>
            <w:r>
              <w:t xml:space="preserve">Chemicals</w:t>
            </w:r>
          </w:p>
        </w:tc>
        <w:tc>
          <w:tcPr/>
          <w:p>
            <w:pPr>
              <w:pStyle w:val="Compact"/>
              <w:jc w:val="left"/>
            </w:pPr>
            <w:r>
              <w:t xml:space="preserve">Application</w:t>
            </w:r>
          </w:p>
        </w:tc>
        <w:tc>
          <w:tcPr/>
          <w:p>
            <w:pPr>
              <w:pStyle w:val="Compact"/>
              <w:jc w:val="left"/>
            </w:pPr>
            <w:r>
              <w:t xml:space="preserve">0.01</w:t>
            </w:r>
          </w:p>
        </w:tc>
        <w:tc>
          <w:tcPr/>
          <w:p>
            <w:pPr>
              <w:pStyle w:val="Compact"/>
              <w:jc w:val="left"/>
            </w:pPr>
            <w:r>
              <w:t xml:space="preserve">kg</w:t>
            </w:r>
          </w:p>
        </w:tc>
        <w:tc>
          <w:tcPr/>
          <w:p>
            <w:pPr>
              <w:pStyle w:val="Compact"/>
              <w:jc w:val="left"/>
            </w:pPr>
            <w:r>
              <w:t xml:space="preserve">4.0</w:t>
            </w:r>
          </w:p>
        </w:tc>
        <w:tc>
          <w:tcPr/>
          <w:p>
            <w:pPr>
              <w:pStyle w:val="Compact"/>
              <w:jc w:val="left"/>
            </w:pPr>
            <w:r>
              <w:t xml:space="preserve">0.04</w:t>
            </w:r>
          </w:p>
        </w:tc>
      </w:tr>
    </w:tbl>
    <w:p>
      <w:pPr>
        <w:pStyle w:val="BodyText"/>
      </w:pPr>
      <w:r>
        <w:rPr>
          <w:bCs/>
          <w:b/>
        </w:rPr>
        <w:t xml:space="preserve">Total Material Emissions (Upstream, Scope 3, Category 1 - Purchased goods and services): 12.97 kgCO2e</w:t>
      </w:r>
    </w:p>
    <w:bookmarkEnd w:id="25"/>
    <w:bookmarkStart w:id="26" w:name="manufacturing-energy-input"/>
    <w:p>
      <w:pPr>
        <w:pStyle w:val="Heading4"/>
      </w:pPr>
      <w:r>
        <w:t xml:space="preserve">Manufacturing Energy Input</w:t>
      </w:r>
    </w:p>
    <w:p>
      <w:pPr>
        <w:numPr>
          <w:ilvl w:val="0"/>
          <w:numId w:val="1004"/>
        </w:numPr>
        <w:pStyle w:val="Compact"/>
      </w:pPr>
      <w:r>
        <w:rPr>
          <w:bCs/>
          <w:b/>
        </w:rPr>
        <w:t xml:space="preserve">Energy Intensity (kWh/unit):</w:t>
      </w:r>
      <w:r>
        <w:t xml:space="preserve"> </w:t>
      </w:r>
      <w:r>
        <w:t xml:space="preserve">dunhgxjgwe (assumed 15 kWh/unit for calculation)</w:t>
      </w:r>
    </w:p>
    <w:p>
      <w:pPr>
        <w:numPr>
          <w:ilvl w:val="0"/>
          <w:numId w:val="1004"/>
        </w:numPr>
        <w:pStyle w:val="Compact"/>
      </w:pPr>
      <w:r>
        <w:rPr>
          <w:bCs/>
          <w:b/>
        </w:rPr>
        <w:t xml:space="preserve">Renewable Energy Usage:</w:t>
      </w:r>
      <w:r>
        <w:t xml:space="preserve"> </w:t>
      </w:r>
      <w:r>
        <w:t xml:space="preserve">mhygpufxoe (assumed 70% renewable for calculation)</w:t>
      </w:r>
    </w:p>
    <w:p>
      <w:pPr>
        <w:numPr>
          <w:ilvl w:val="0"/>
          <w:numId w:val="1004"/>
        </w:numPr>
        <w:pStyle w:val="Compact"/>
      </w:pPr>
      <w:r>
        <w:rPr>
          <w:bCs/>
          <w:b/>
        </w:rPr>
        <w:t xml:space="preserve">Grid Electricity Emission Factor (China):</w:t>
      </w:r>
      <w:r>
        <w:t xml:space="preserve"> </w:t>
      </w:r>
      <w:r>
        <w:t xml:space="preserve">0.65 kgCO2e/kWh (generic factor)</w:t>
      </w:r>
    </w:p>
    <w:p>
      <w:pPr>
        <w:numPr>
          <w:ilvl w:val="0"/>
          <w:numId w:val="1004"/>
        </w:numPr>
        <w:pStyle w:val="Compact"/>
      </w:pPr>
      <w:r>
        <w:rPr>
          <w:bCs/>
          <w:b/>
        </w:rPr>
        <w:t xml:space="preserve">Renewable Energy Emission Factor:</w:t>
      </w:r>
      <w:r>
        <w:t xml:space="preserve"> </w:t>
      </w:r>
      <w:r>
        <w:t xml:space="preserve">0.05 kgCO2e/kWh (assumed for certified renewable sources)</w:t>
      </w:r>
    </w:p>
    <w:bookmarkEnd w:id="26"/>
    <w:bookmarkStart w:id="27" w:name="logistics-data"/>
    <w:p>
      <w:pPr>
        <w:pStyle w:val="Heading4"/>
      </w:pPr>
      <w:r>
        <w:t xml:space="preserve">Logistics Data</w:t>
      </w:r>
    </w:p>
    <w:p>
      <w:pPr>
        <w:numPr>
          <w:ilvl w:val="0"/>
          <w:numId w:val="1005"/>
        </w:numPr>
        <w:pStyle w:val="Compact"/>
      </w:pPr>
      <w:r>
        <w:rPr>
          <w:bCs/>
          <w:b/>
        </w:rPr>
        <w:t xml:space="preserve">Primary Transport Mode (China to Europe):</w:t>
      </w:r>
      <w:r>
        <w:t xml:space="preserve"> </w:t>
      </w:r>
      <w:r>
        <w:t xml:space="preserve">Select Mode (assumed Ocean Freight)</w:t>
      </w:r>
    </w:p>
    <w:p>
      <w:pPr>
        <w:numPr>
          <w:ilvl w:val="0"/>
          <w:numId w:val="1005"/>
        </w:numPr>
        <w:pStyle w:val="Compact"/>
      </w:pPr>
      <w:r>
        <w:rPr>
          <w:bCs/>
          <w:b/>
        </w:rPr>
        <w:t xml:space="preserve">Primary Transport Distance:</w:t>
      </w:r>
      <w:r>
        <w:t xml:space="preserve"> </w:t>
      </w:r>
      <w:r>
        <w:t xml:space="preserve">tphwjqjprx (assumed 10,000 km)</w:t>
      </w:r>
    </w:p>
    <w:p>
      <w:pPr>
        <w:numPr>
          <w:ilvl w:val="0"/>
          <w:numId w:val="1005"/>
        </w:numPr>
        <w:pStyle w:val="Compact"/>
      </w:pPr>
      <w:r>
        <w:rPr>
          <w:bCs/>
          <w:b/>
        </w:rPr>
        <w:t xml:space="preserve">Last-Mile Delivery Channel (Europe):</w:t>
      </w:r>
      <w:r>
        <w:t xml:space="preserve"> </w:t>
      </w:r>
      <w:r>
        <w:t xml:space="preserve">Delivery Type (assumed Road Freight (Van))</w:t>
      </w:r>
    </w:p>
    <w:p>
      <w:pPr>
        <w:numPr>
          <w:ilvl w:val="0"/>
          <w:numId w:val="1005"/>
        </w:numPr>
        <w:pStyle w:val="Compact"/>
      </w:pPr>
      <w:r>
        <w:rPr>
          <w:bCs/>
          <w:b/>
        </w:rPr>
        <w:t xml:space="preserve">Last-Mile Transport Distance:</w:t>
      </w:r>
      <w:r>
        <w:t xml:space="preserve"> </w:t>
      </w:r>
      <w:r>
        <w:t xml:space="preserve">Assumed 500 km</w:t>
      </w:r>
    </w:p>
    <w:p>
      <w:pPr>
        <w:numPr>
          <w:ilvl w:val="0"/>
          <w:numId w:val="1005"/>
        </w:numPr>
        <w:pStyle w:val="Compact"/>
      </w:pPr>
      <w:r>
        <w:rPr>
          <w:bCs/>
          <w:b/>
        </w:rPr>
        <w:t xml:space="preserve">Ocean Freight Emission Factor:</w:t>
      </w:r>
      <w:r>
        <w:t xml:space="preserve"> </w:t>
      </w:r>
      <w:r>
        <w:t xml:space="preserve">0.01 kgCO2e/tonne-km (generic factor)</w:t>
      </w:r>
    </w:p>
    <w:p>
      <w:pPr>
        <w:numPr>
          <w:ilvl w:val="0"/>
          <w:numId w:val="1005"/>
        </w:numPr>
        <w:pStyle w:val="Compact"/>
      </w:pPr>
      <w:r>
        <w:rPr>
          <w:bCs/>
          <w:b/>
        </w:rPr>
        <w:t xml:space="preserve">Road Freight (Van) Emission Factor:</w:t>
      </w:r>
      <w:r>
        <w:t xml:space="preserve"> </w:t>
      </w:r>
      <w:r>
        <w:t xml:space="preserve">0.15 kgCO2e/tonne-km (generic factor)</w:t>
      </w:r>
    </w:p>
    <w:p>
      <w:pPr>
        <w:numPr>
          <w:ilvl w:val="0"/>
          <w:numId w:val="1005"/>
        </w:numPr>
        <w:pStyle w:val="Compact"/>
      </w:pPr>
      <w:r>
        <w:rPr>
          <w:bCs/>
          <w:b/>
        </w:rPr>
        <w:t xml:space="preserve">Product Weight for Transport:</w:t>
      </w:r>
      <w:r>
        <w:t xml:space="preserve"> </w:t>
      </w:r>
      <w:r>
        <w:t xml:space="preserve">1.5 kg (total product + packaging)</w:t>
      </w:r>
    </w:p>
    <w:bookmarkEnd w:id="27"/>
    <w:bookmarkStart w:id="28" w:name="use-phase-data"/>
    <w:p>
      <w:pPr>
        <w:pStyle w:val="Heading4"/>
      </w:pPr>
      <w:r>
        <w:t xml:space="preserve">Use Phase Data</w:t>
      </w:r>
    </w:p>
    <w:p>
      <w:pPr>
        <w:numPr>
          <w:ilvl w:val="0"/>
          <w:numId w:val="1006"/>
        </w:numPr>
        <w:pStyle w:val="Compact"/>
      </w:pPr>
      <w:r>
        <w:rPr>
          <w:bCs/>
          <w:b/>
        </w:rPr>
        <w:t xml:space="preserve">Product Lifespan:</w:t>
      </w:r>
      <w:r>
        <w:t xml:space="preserve"> </w:t>
      </w:r>
      <w:r>
        <w:t xml:space="preserve">leryjnrwmg (assumed 5 years)</w:t>
      </w:r>
    </w:p>
    <w:p>
      <w:pPr>
        <w:numPr>
          <w:ilvl w:val="0"/>
          <w:numId w:val="1006"/>
        </w:numPr>
        <w:pStyle w:val="Compact"/>
      </w:pPr>
      <w:r>
        <w:rPr>
          <w:bCs/>
          <w:b/>
        </w:rPr>
        <w:t xml:space="preserve">Energy Consumption in Use:</w:t>
      </w:r>
      <w:r>
        <w:t xml:space="preserve"> </w:t>
      </w:r>
      <w:r>
        <w:t xml:space="preserve">njtrsxzdqs (assumed 10 kWh/year)</w:t>
      </w:r>
    </w:p>
    <w:p>
      <w:pPr>
        <w:numPr>
          <w:ilvl w:val="0"/>
          <w:numId w:val="1006"/>
        </w:numPr>
        <w:pStyle w:val="Compact"/>
      </w:pPr>
      <w:r>
        <w:rPr>
          <w:bCs/>
          <w:b/>
        </w:rPr>
        <w:t xml:space="preserve">Electricity Emission Factor (Europe - average):</w:t>
      </w:r>
      <w:r>
        <w:t xml:space="preserve"> </w:t>
      </w:r>
      <w:r>
        <w:t xml:space="preserve">0.3 kgCO2e/kWh (generic factor)</w:t>
      </w:r>
    </w:p>
    <w:bookmarkEnd w:id="28"/>
    <w:bookmarkStart w:id="29" w:name="end-of-life-eol-data"/>
    <w:p>
      <w:pPr>
        <w:pStyle w:val="Heading4"/>
      </w:pPr>
      <w:r>
        <w:t xml:space="preserve">End-of-Life (EoL) Data</w:t>
      </w:r>
    </w:p>
    <w:p>
      <w:pPr>
        <w:numPr>
          <w:ilvl w:val="0"/>
          <w:numId w:val="1007"/>
        </w:numPr>
        <w:pStyle w:val="Compact"/>
      </w:pPr>
      <w:r>
        <w:rPr>
          <w:bCs/>
          <w:b/>
        </w:rPr>
        <w:t xml:space="preserve">Recyclability Percentage:</w:t>
      </w:r>
      <w:r>
        <w:t xml:space="preserve"> </w:t>
      </w:r>
      <w:r>
        <w:t xml:space="preserve">vpfefiuxmu (assumed 80%)</w:t>
      </w:r>
    </w:p>
    <w:p>
      <w:pPr>
        <w:numPr>
          <w:ilvl w:val="0"/>
          <w:numId w:val="1007"/>
        </w:numPr>
        <w:pStyle w:val="Compact"/>
      </w:pPr>
      <w:r>
        <w:rPr>
          <w:bCs/>
          <w:b/>
        </w:rPr>
        <w:t xml:space="preserve">Circular/Take-back Programs:</w:t>
      </w:r>
      <w:r>
        <w:t xml:space="preserve"> </w:t>
      </w:r>
      <w:r>
        <w:t xml:space="preserve">qlgvxgfxow (assumed "Company-run product take-back program for recycling and refurbishment")</w:t>
      </w:r>
    </w:p>
    <w:p>
      <w:pPr>
        <w:numPr>
          <w:ilvl w:val="0"/>
          <w:numId w:val="1007"/>
        </w:numPr>
        <w:pStyle w:val="Compact"/>
      </w:pPr>
      <w:r>
        <w:rPr>
          <w:bCs/>
          <w:b/>
        </w:rPr>
        <w:t xml:space="preserve">Waste to Landfill Emission Factor:</w:t>
      </w:r>
      <w:r>
        <w:t xml:space="preserve"> </w:t>
      </w:r>
      <w:r>
        <w:t xml:space="preserve">0.3 kgCO2e/kg (for non-recycled portion, generic factor)</w:t>
      </w:r>
    </w:p>
    <w:p>
      <w:pPr>
        <w:numPr>
          <w:ilvl w:val="0"/>
          <w:numId w:val="1007"/>
        </w:numPr>
        <w:pStyle w:val="Compact"/>
      </w:pPr>
      <w:r>
        <w:rPr>
          <w:bCs/>
          <w:b/>
        </w:rPr>
        <w:t xml:space="preserve">Recycling Benefit/Credit:</w:t>
      </w:r>
      <w:r>
        <w:t xml:space="preserve"> </w:t>
      </w:r>
      <w:r>
        <w:t xml:space="preserve">-0.5 kgCO2e/kg (for recycled portion, generic factor for avoided virgin material production)</w:t>
      </w:r>
    </w:p>
    <w:p>
      <w:r>
        <w:pict>
          <v:rect style="width:0;height:1.5pt" o:hralign="center" o:hrstd="t" o:hr="t"/>
        </w:pict>
      </w:r>
    </w:p>
    <w:bookmarkEnd w:id="29"/>
    <w:bookmarkEnd w:id="30"/>
    <w:bookmarkEnd w:id="31"/>
    <w:bookmarkStart w:id="43" w:name="calculate-emissions"/>
    <w:p>
      <w:pPr>
        <w:pStyle w:val="Heading2"/>
      </w:pPr>
      <w:r>
        <w:t xml:space="preserve">4. Calculate Emissions</w:t>
      </w:r>
    </w:p>
    <w:p>
      <w:pPr>
        <w:pStyle w:val="FirstParagraph"/>
      </w:pPr>
      <w:r>
        <w:t xml:space="preserve">Emissions are calculated for each stage of the product lifecycle and categorized according to the GHG Protocol Scopes. The total carbon footprint for llrzuiwjqn is presented in CO2 equivalents (CO2e).</w:t>
      </w:r>
    </w:p>
    <w:bookmarkStart w:id="32" w:name="scope-definitions"/>
    <w:p>
      <w:pPr>
        <w:pStyle w:val="Heading3"/>
      </w:pPr>
      <w:r>
        <w:t xml:space="preserve">Scope Definitions:</w:t>
      </w:r>
    </w:p>
    <w:p>
      <w:pPr>
        <w:numPr>
          <w:ilvl w:val="0"/>
          <w:numId w:val="1008"/>
        </w:numPr>
        <w:pStyle w:val="Compact"/>
      </w:pPr>
      <w:r>
        <w:rPr>
          <w:bCs/>
          <w:b/>
        </w:rPr>
        <w:t xml:space="preserve">Scope 1: Direct Emissions</w:t>
      </w:r>
      <w:r>
        <w:t xml:space="preserve"> </w:t>
      </w:r>
      <w:r>
        <w:t xml:space="preserve">from owned or controlled sources.</w:t>
      </w:r>
    </w:p>
    <w:p>
      <w:pPr>
        <w:numPr>
          <w:ilvl w:val="0"/>
          <w:numId w:val="1008"/>
        </w:numPr>
        <w:pStyle w:val="Compact"/>
      </w:pPr>
      <w:r>
        <w:rPr>
          <w:bCs/>
          <w:b/>
        </w:rPr>
        <w:t xml:space="preserve">Scope 2: Indirect Emissions</w:t>
      </w:r>
      <w:r>
        <w:t xml:space="preserve"> </w:t>
      </w:r>
      <w:r>
        <w:t xml:space="preserve">from the generation of purchased electricity, steam, heating, and cooling consumed by the company.</w:t>
      </w:r>
    </w:p>
    <w:p>
      <w:pPr>
        <w:numPr>
          <w:ilvl w:val="0"/>
          <w:numId w:val="1008"/>
        </w:numPr>
        <w:pStyle w:val="Compact"/>
      </w:pPr>
      <w:r>
        <w:rPr>
          <w:bCs/>
          <w:b/>
        </w:rPr>
        <w:t xml:space="preserve">Scope 3: Other Indirect Emissions</w:t>
      </w:r>
      <w:r>
        <w:t xml:space="preserve"> </w:t>
      </w:r>
      <w:r>
        <w:t xml:space="preserve">that occur in the value chain of the reporting company, including both upstream and downstream emissions. This includes 15 categories as per GHG Protocol.</w:t>
      </w:r>
    </w:p>
    <w:bookmarkEnd w:id="32"/>
    <w:bookmarkStart w:id="40" w:name="calculation-details"/>
    <w:p>
      <w:pPr>
        <w:pStyle w:val="Heading3"/>
      </w:pPr>
      <w:r>
        <w:t xml:space="preserve">Calculation Details:</w:t>
      </w:r>
    </w:p>
    <w:bookmarkStart w:id="33" w:name="Xe146954a5187b246f79f3a57414569d48e13820"/>
    <w:p>
      <w:pPr>
        <w:pStyle w:val="Heading4"/>
      </w:pPr>
      <w:r>
        <w:t xml:space="preserve">1. Materials (Scope 3, Category 1 - Purchased Goods and Services)</w:t>
      </w:r>
    </w:p>
    <w:p>
      <w:pPr>
        <w:pStyle w:val="FirstParagraph"/>
      </w:pPr>
      <w:r>
        <w:t xml:space="preserve">Based on the Detailed Bill of Materials (zvuktmtm):</w:t>
      </w:r>
    </w:p>
    <w:p>
      <w:pPr>
        <w:numPr>
          <w:ilvl w:val="0"/>
          <w:numId w:val="1009"/>
        </w:numPr>
        <w:pStyle w:val="Compact"/>
      </w:pPr>
      <w:r>
        <w:t xml:space="preserve">Total Material Emissions = 12.97 kgCO2e</w:t>
      </w:r>
    </w:p>
    <w:bookmarkEnd w:id="33"/>
    <w:bookmarkStart w:id="34" w:name="manufacturing-production-phase"/>
    <w:p>
      <w:pPr>
        <w:pStyle w:val="Heading4"/>
      </w:pPr>
      <w:r>
        <w:t xml:space="preserve">2. Manufacturing (Production Phase)</w:t>
      </w:r>
    </w:p>
    <w:p>
      <w:pPr>
        <w:numPr>
          <w:ilvl w:val="0"/>
          <w:numId w:val="1010"/>
        </w:numPr>
        <w:pStyle w:val="Compact"/>
      </w:pPr>
      <w:r>
        <w:t xml:space="preserve">Total Energy Consumed = 15 kWh/unit</w:t>
      </w:r>
    </w:p>
    <w:p>
      <w:pPr>
        <w:numPr>
          <w:ilvl w:val="0"/>
          <w:numId w:val="1010"/>
        </w:numPr>
        <w:pStyle w:val="Compact"/>
      </w:pPr>
      <w:r>
        <w:t xml:space="preserve">Renewable Energy Portion = 15 kWh * 70% = 10.5 kWh</w:t>
      </w:r>
    </w:p>
    <w:p>
      <w:pPr>
        <w:numPr>
          <w:ilvl w:val="0"/>
          <w:numId w:val="1010"/>
        </w:numPr>
        <w:pStyle w:val="Compact"/>
      </w:pPr>
      <w:r>
        <w:t xml:space="preserve">Non-Renewable Energy Portion = 15 kWh * (100% - 70%) = 4.5 kWh</w:t>
      </w:r>
    </w:p>
    <w:p>
      <w:pPr>
        <w:numPr>
          <w:ilvl w:val="0"/>
          <w:numId w:val="1010"/>
        </w:numPr>
        <w:pStyle w:val="Compact"/>
      </w:pPr>
      <w:r>
        <w:t xml:space="preserve">Emissions from Renewable Energy = 10.5 kWh * 0.05 kgCO2e/kWh = 0.525 kgCO2e</w:t>
      </w:r>
    </w:p>
    <w:p>
      <w:pPr>
        <w:numPr>
          <w:ilvl w:val="0"/>
          <w:numId w:val="1010"/>
        </w:numPr>
        <w:pStyle w:val="Compact"/>
      </w:pPr>
      <w:r>
        <w:t xml:space="preserve">Emissions from Grid Electricity (China) = 4.5 kWh * 0.65 kgCO2e/kWh = 2.925 kgCO2e</w:t>
      </w:r>
    </w:p>
    <w:p>
      <w:pPr>
        <w:numPr>
          <w:ilvl w:val="0"/>
          <w:numId w:val="1010"/>
        </w:numPr>
        <w:pStyle w:val="Compact"/>
      </w:pPr>
      <w:r>
        <w:rPr>
          <w:bCs/>
          <w:b/>
        </w:rPr>
        <w:t xml:space="preserve">Total Manufacturing Emissions = 0.525 + 2.925 = 3.45 kgCO2e</w:t>
      </w:r>
    </w:p>
    <w:p>
      <w:pPr>
        <w:pStyle w:val="FirstParagraph"/>
      </w:pPr>
      <w:r>
        <w:t xml:space="preserve">These emissions are categorized as Scope 2 for purchased electricity. Any direct emissions from manufacturing processes (e.g., owned machinery burning fossil fuels) would be Scope 1, but are not specified in the parameters.</w:t>
      </w:r>
    </w:p>
    <w:bookmarkEnd w:id="34"/>
    <w:bookmarkStart w:id="37" w:name="transportation"/>
    <w:p>
      <w:pPr>
        <w:pStyle w:val="Heading4"/>
      </w:pPr>
      <w:r>
        <w:t xml:space="preserve">3. Transportation</w:t>
      </w:r>
    </w:p>
    <w:bookmarkStart w:id="35" w:name="X605a9a7764f095dcde0a8e48b7e267b30391352"/>
    <w:p>
      <w:pPr>
        <w:pStyle w:val="Heading5"/>
      </w:pPr>
      <w:r>
        <w:t xml:space="preserve">Upstream Transport (e.g., raw materials to factory - assumed already in BOM EF for simplicity, or negligible)</w:t>
      </w:r>
    </w:p>
    <w:p>
      <w:pPr>
        <w:pStyle w:val="FirstParagraph"/>
      </w:pPr>
      <w:r>
        <w:t xml:space="preserve">This report focuses on transport of the finished product, which falls under downstream Scope 3 categories.</w:t>
      </w:r>
    </w:p>
    <w:bookmarkEnd w:id="35"/>
    <w:bookmarkStart w:id="36" w:name="X029f8426c65ea4e1fd9f213e28486f0210d5da4"/>
    <w:p>
      <w:pPr>
        <w:pStyle w:val="Heading5"/>
      </w:pPr>
      <w:r>
        <w:t xml:space="preserve">Downstream Transport (Scope 3, Category 4 - Upstream Transportation and Distribution)</w:t>
      </w:r>
    </w:p>
    <w:p>
      <w:pPr>
        <w:numPr>
          <w:ilvl w:val="0"/>
          <w:numId w:val="1011"/>
        </w:numPr>
        <w:pStyle w:val="Compact"/>
      </w:pPr>
      <w:r>
        <w:rPr>
          <w:bCs/>
          <w:b/>
        </w:rPr>
        <w:t xml:space="preserve">Primary Transport (Ocean Freight, China to Europe):</w:t>
      </w:r>
    </w:p>
    <w:p>
      <w:pPr>
        <w:numPr>
          <w:ilvl w:val="1"/>
          <w:numId w:val="1012"/>
        </w:numPr>
        <w:pStyle w:val="Compact"/>
      </w:pPr>
      <w:r>
        <w:t xml:space="preserve">Distance: 10,000 km</w:t>
      </w:r>
    </w:p>
    <w:p>
      <w:pPr>
        <w:numPr>
          <w:ilvl w:val="1"/>
          <w:numId w:val="1012"/>
        </w:numPr>
        <w:pStyle w:val="Compact"/>
      </w:pPr>
      <w:r>
        <w:t xml:space="preserve">Weight: 1.5 kg = 0.0015 tonnes</w:t>
      </w:r>
    </w:p>
    <w:p>
      <w:pPr>
        <w:numPr>
          <w:ilvl w:val="1"/>
          <w:numId w:val="1012"/>
        </w:numPr>
        <w:pStyle w:val="Compact"/>
      </w:pPr>
      <w:r>
        <w:t xml:space="preserve">Emissions = 0.0015 tonnes * 10,000 km * 0.01 kgCO2e/tonne-km = 0.15 kgCO2e</w:t>
      </w:r>
    </w:p>
    <w:p>
      <w:pPr>
        <w:numPr>
          <w:ilvl w:val="0"/>
          <w:numId w:val="1011"/>
        </w:numPr>
        <w:pStyle w:val="Compact"/>
      </w:pPr>
      <w:r>
        <w:rPr>
          <w:bCs/>
          <w:b/>
        </w:rPr>
        <w:t xml:space="preserve">Last-Mile Delivery (Road Freight (Van), Europe):</w:t>
      </w:r>
    </w:p>
    <w:p>
      <w:pPr>
        <w:numPr>
          <w:ilvl w:val="1"/>
          <w:numId w:val="1013"/>
        </w:numPr>
        <w:pStyle w:val="Compact"/>
      </w:pPr>
      <w:r>
        <w:t xml:space="preserve">Distance: 500 km</w:t>
      </w:r>
    </w:p>
    <w:p>
      <w:pPr>
        <w:numPr>
          <w:ilvl w:val="1"/>
          <w:numId w:val="1013"/>
        </w:numPr>
        <w:pStyle w:val="Compact"/>
      </w:pPr>
      <w:r>
        <w:t xml:space="preserve">Weight: 1.5 kg = 0.0015 tonnes</w:t>
      </w:r>
    </w:p>
    <w:p>
      <w:pPr>
        <w:numPr>
          <w:ilvl w:val="1"/>
          <w:numId w:val="1013"/>
        </w:numPr>
        <w:pStyle w:val="Compact"/>
      </w:pPr>
      <w:r>
        <w:t xml:space="preserve">Emissions = 0.0015 tonnes * 500 km * 0.15 kgCO2e/tonne-km = 0.1125 kgCO2e</w:t>
      </w:r>
    </w:p>
    <w:p>
      <w:pPr>
        <w:numPr>
          <w:ilvl w:val="0"/>
          <w:numId w:val="1011"/>
        </w:numPr>
        <w:pStyle w:val="Compact"/>
      </w:pPr>
      <w:r>
        <w:rPr>
          <w:bCs/>
          <w:b/>
        </w:rPr>
        <w:t xml:space="preserve">Total Transportation Emissions = 0.15 + 0.1125 = 0.2625 kgCO2e</w:t>
      </w:r>
    </w:p>
    <w:bookmarkEnd w:id="36"/>
    <w:bookmarkEnd w:id="37"/>
    <w:bookmarkStart w:id="38" w:name="Xe72837a908ad344b018b3447ff671a3dec19470"/>
    <w:p>
      <w:pPr>
        <w:pStyle w:val="Heading4"/>
      </w:pPr>
      <w:r>
        <w:t xml:space="preserve">4. Use Phase (Scope 3, Category 11 - Use of Sold Products)</w:t>
      </w:r>
    </w:p>
    <w:p>
      <w:pPr>
        <w:numPr>
          <w:ilvl w:val="0"/>
          <w:numId w:val="1014"/>
        </w:numPr>
        <w:pStyle w:val="Compact"/>
      </w:pPr>
      <w:r>
        <w:t xml:space="preserve">Product Lifespan: 5 years</w:t>
      </w:r>
    </w:p>
    <w:p>
      <w:pPr>
        <w:numPr>
          <w:ilvl w:val="0"/>
          <w:numId w:val="1014"/>
        </w:numPr>
        <w:pStyle w:val="Compact"/>
      </w:pPr>
      <w:r>
        <w:t xml:space="preserve">Annual Energy Consumption: 10 kWh/year</w:t>
      </w:r>
    </w:p>
    <w:p>
      <w:pPr>
        <w:numPr>
          <w:ilvl w:val="0"/>
          <w:numId w:val="1014"/>
        </w:numPr>
        <w:pStyle w:val="Compact"/>
      </w:pPr>
      <w:r>
        <w:t xml:space="preserve">Annual Emissions from Use = 10 kWh/year * 0.3 kgCO2e/kWh = 3.0 kgCO2e/year</w:t>
      </w:r>
    </w:p>
    <w:p>
      <w:pPr>
        <w:numPr>
          <w:ilvl w:val="0"/>
          <w:numId w:val="1014"/>
        </w:numPr>
        <w:pStyle w:val="Compact"/>
      </w:pPr>
      <w:r>
        <w:rPr>
          <w:bCs/>
          <w:b/>
        </w:rPr>
        <w:t xml:space="preserve">Total Use Phase Emissions = 3.0 kgCO2e/year * 5 years = 15.0 kgCO2e</w:t>
      </w:r>
    </w:p>
    <w:p>
      <w:pPr>
        <w:numPr>
          <w:ilvl w:val="0"/>
          <w:numId w:val="1014"/>
        </w:numPr>
        <w:pStyle w:val="Compact"/>
      </w:pPr>
      <w:r>
        <w:t xml:space="preserve">*Note: The GHG Protocol is exploring an annualized approach for Category 11 in 2026 revisions, moving from lifetime accounting. This report presents the total over the lifespan for clarity given the provided \'Product Lifespan\' parameter.*</w:t>
      </w:r>
    </w:p>
    <w:bookmarkEnd w:id="38"/>
    <w:bookmarkStart w:id="39" w:name="X18c81bc1109c1a847ac842bd745cc472e3f99f0"/>
    <w:p>
      <w:pPr>
        <w:pStyle w:val="Heading4"/>
      </w:pPr>
      <w:r>
        <w:t xml:space="preserve">5. End-of-Life (EoL) (Scope 3, Category 12 - End-of-Life Treatment of Sold Products)</w:t>
      </w:r>
    </w:p>
    <w:p>
      <w:pPr>
        <w:numPr>
          <w:ilvl w:val="0"/>
          <w:numId w:val="1015"/>
        </w:numPr>
        <w:pStyle w:val="Compact"/>
      </w:pPr>
      <w:r>
        <w:t xml:space="preserve">Product Weight: 1.5 kg (assuming total weight including packaging)</w:t>
      </w:r>
    </w:p>
    <w:p>
      <w:pPr>
        <w:numPr>
          <w:ilvl w:val="0"/>
          <w:numId w:val="1015"/>
        </w:numPr>
        <w:pStyle w:val="Compact"/>
      </w:pPr>
      <w:r>
        <w:t xml:space="preserve">Recycled Portion: 1.5 kg * 80% = 1.2 kg</w:t>
      </w:r>
    </w:p>
    <w:p>
      <w:pPr>
        <w:numPr>
          <w:ilvl w:val="0"/>
          <w:numId w:val="1015"/>
        </w:numPr>
        <w:pStyle w:val="Compact"/>
      </w:pPr>
      <w:r>
        <w:t xml:space="preserve">Landfilled Portion: 1.5 kg * (100% - 80%) = 0.3 kg</w:t>
      </w:r>
    </w:p>
    <w:p>
      <w:pPr>
        <w:numPr>
          <w:ilvl w:val="0"/>
          <w:numId w:val="1015"/>
        </w:numPr>
        <w:pStyle w:val="Compact"/>
      </w:pPr>
      <w:r>
        <w:t xml:space="preserve">Emissions from Landfill = 0.3 kg * 0.3 kgCO2e/kg = 0.09 kgCO2e</w:t>
      </w:r>
    </w:p>
    <w:p>
      <w:pPr>
        <w:numPr>
          <w:ilvl w:val="0"/>
          <w:numId w:val="1015"/>
        </w:numPr>
        <w:pStyle w:val="Compact"/>
      </w:pPr>
      <w:r>
        <w:t xml:space="preserve">Recycling Benefit = 1.2 kg * -0.5 kgCO2e/kg = -0.6 kgCO2e</w:t>
      </w:r>
    </w:p>
    <w:p>
      <w:pPr>
        <w:numPr>
          <w:ilvl w:val="0"/>
          <w:numId w:val="1015"/>
        </w:numPr>
        <w:pStyle w:val="Compact"/>
      </w:pPr>
      <w:r>
        <w:rPr>
          <w:bCs/>
          <w:b/>
        </w:rPr>
        <w:t xml:space="preserve">Total EoL Emissions = 0.09 + (-0.6) = -0.51 kgCO2e (Net removal/avoided emissions)</w:t>
      </w:r>
    </w:p>
    <w:p>
      <w:pPr>
        <w:numPr>
          <w:ilvl w:val="0"/>
          <w:numId w:val="1015"/>
        </w:numPr>
        <w:pStyle w:val="Compact"/>
      </w:pPr>
      <w:r>
        <w:t xml:space="preserve">The company\'s "Company-run product take-back program for recycling and refurbishment" (qlgvxgfxow) contributes positively to this net reduction by facilitating high recyclability and potentially extending product lifespans, aligning with circular economy principles.</w:t>
      </w:r>
    </w:p>
    <w:bookmarkEnd w:id="39"/>
    <w:bookmarkEnd w:id="40"/>
    <w:bookmarkStart w:id="41" w:name="X9b8f96e5fd6ec30b02c91cc11d45f1568d9808c"/>
    <w:p>
      <w:pPr>
        <w:pStyle w:val="Heading3"/>
      </w:pPr>
      <w:r>
        <w:t xml:space="preserve">Summary of Emissions by Scope and Lifecycle Stage</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Scope</w:t>
            </w:r>
          </w:p>
        </w:tc>
        <w:tc>
          <w:tcPr/>
          <w:p>
            <w:pPr>
              <w:pStyle w:val="Compact"/>
              <w:jc w:val="left"/>
            </w:pPr>
            <w:r>
              <w:t xml:space="preserve">Category</w:t>
            </w:r>
          </w:p>
        </w:tc>
        <w:tc>
          <w:tcPr/>
          <w:p>
            <w:pPr>
              <w:pStyle w:val="Compact"/>
              <w:jc w:val="left"/>
            </w:pPr>
            <w:r>
              <w:t xml:space="preserve">Emissions (kgCO2e/unit)</w:t>
            </w:r>
          </w:p>
        </w:tc>
      </w:tr>
      <w:tr>
        <w:tc>
          <w:tcPr/>
          <w:p>
            <w:pPr>
              <w:pStyle w:val="Compact"/>
              <w:jc w:val="left"/>
            </w:pPr>
            <w:r>
              <w:t xml:space="preserve">Materials Acquisition &amp; Processing</w:t>
            </w:r>
          </w:p>
        </w:tc>
        <w:tc>
          <w:tcPr/>
          <w:p>
            <w:pPr>
              <w:pStyle w:val="Compact"/>
              <w:jc w:val="left"/>
            </w:pPr>
            <w:r>
              <w:t xml:space="preserve">Scope 3</w:t>
            </w:r>
          </w:p>
        </w:tc>
        <w:tc>
          <w:tcPr/>
          <w:p>
            <w:pPr>
              <w:pStyle w:val="Compact"/>
              <w:jc w:val="left"/>
            </w:pPr>
            <w:r>
              <w:t xml:space="preserve">1 (Purchased goods and services)</w:t>
            </w:r>
          </w:p>
        </w:tc>
        <w:tc>
          <w:tcPr/>
          <w:p>
            <w:pPr>
              <w:pStyle w:val="Compact"/>
              <w:jc w:val="left"/>
            </w:pPr>
            <w:r>
              <w:t xml:space="preserve">12.97</w:t>
            </w:r>
          </w:p>
        </w:tc>
      </w:tr>
      <w:tr>
        <w:tc>
          <w:tcPr/>
          <w:p>
            <w:pPr>
              <w:pStyle w:val="Compact"/>
              <w:jc w:val="left"/>
            </w:pPr>
            <w:r>
              <w:t xml:space="preserve">Manufacturing (Energy)</w:t>
            </w:r>
          </w:p>
        </w:tc>
        <w:tc>
          <w:tcPr/>
          <w:p>
            <w:pPr>
              <w:pStyle w:val="Compact"/>
              <w:jc w:val="left"/>
            </w:pPr>
            <w:r>
              <w:t xml:space="preserve">Scope 2</w:t>
            </w:r>
          </w:p>
        </w:tc>
        <w:tc>
          <w:tcPr/>
          <w:p>
            <w:pPr>
              <w:pStyle w:val="Compact"/>
              <w:jc w:val="left"/>
            </w:pPr>
            <w:r>
              <w:t xml:space="preserve">-</w:t>
            </w:r>
          </w:p>
        </w:tc>
        <w:tc>
          <w:tcPr/>
          <w:p>
            <w:pPr>
              <w:pStyle w:val="Compact"/>
              <w:jc w:val="left"/>
            </w:pPr>
            <w:r>
              <w:t xml:space="preserve">3.45</w:t>
            </w:r>
          </w:p>
        </w:tc>
      </w:tr>
      <w:tr>
        <w:tc>
          <w:tcPr/>
          <w:p>
            <w:pPr>
              <w:pStyle w:val="Compact"/>
              <w:jc w:val="left"/>
            </w:pPr>
            <w:r>
              <w:t xml:space="preserve">Transportation (Downstream)</w:t>
            </w:r>
          </w:p>
        </w:tc>
        <w:tc>
          <w:tcPr/>
          <w:p>
            <w:pPr>
              <w:pStyle w:val="Compact"/>
              <w:jc w:val="left"/>
            </w:pPr>
            <w:r>
              <w:t xml:space="preserve">Scope 3</w:t>
            </w:r>
          </w:p>
        </w:tc>
        <w:tc>
          <w:tcPr/>
          <w:p>
            <w:pPr>
              <w:pStyle w:val="Compact"/>
              <w:jc w:val="left"/>
            </w:pPr>
            <w:r>
              <w:t xml:space="preserve">4 (Upstream Transportation and Distribution)</w:t>
            </w:r>
          </w:p>
        </w:tc>
        <w:tc>
          <w:tcPr/>
          <w:p>
            <w:pPr>
              <w:pStyle w:val="Compact"/>
              <w:jc w:val="left"/>
            </w:pPr>
            <w:r>
              <w:t xml:space="preserve">0.2625</w:t>
            </w:r>
          </w:p>
        </w:tc>
      </w:tr>
      <w:tr>
        <w:tc>
          <w:tcPr/>
          <w:p>
            <w:pPr>
              <w:pStyle w:val="Compact"/>
              <w:jc w:val="left"/>
            </w:pPr>
            <w:r>
              <w:t xml:space="preserve">Use Phase</w:t>
            </w:r>
          </w:p>
        </w:tc>
        <w:tc>
          <w:tcPr/>
          <w:p>
            <w:pPr>
              <w:pStyle w:val="Compact"/>
              <w:jc w:val="left"/>
            </w:pPr>
            <w:r>
              <w:t xml:space="preserve">Scope 3</w:t>
            </w:r>
          </w:p>
        </w:tc>
        <w:tc>
          <w:tcPr/>
          <w:p>
            <w:pPr>
              <w:pStyle w:val="Compact"/>
              <w:jc w:val="left"/>
            </w:pPr>
            <w:r>
              <w:t xml:space="preserve">11 (Use of sold products)</w:t>
            </w:r>
          </w:p>
        </w:tc>
        <w:tc>
          <w:tcPr/>
          <w:p>
            <w:pPr>
              <w:pStyle w:val="Compact"/>
              <w:jc w:val="left"/>
            </w:pPr>
            <w:r>
              <w:t xml:space="preserve">15.00</w:t>
            </w:r>
          </w:p>
        </w:tc>
      </w:tr>
      <w:tr>
        <w:tc>
          <w:tcPr/>
          <w:p>
            <w:pPr>
              <w:pStyle w:val="Compact"/>
              <w:jc w:val="left"/>
            </w:pPr>
            <w:r>
              <w:t xml:space="preserve">End-of-Life</w:t>
            </w:r>
          </w:p>
        </w:tc>
        <w:tc>
          <w:tcPr/>
          <w:p>
            <w:pPr>
              <w:pStyle w:val="Compact"/>
              <w:jc w:val="left"/>
            </w:pPr>
            <w:r>
              <w:t xml:space="preserve">Scope 3</w:t>
            </w:r>
          </w:p>
        </w:tc>
        <w:tc>
          <w:tcPr/>
          <w:p>
            <w:pPr>
              <w:pStyle w:val="Compact"/>
              <w:jc w:val="left"/>
            </w:pPr>
            <w:r>
              <w:t xml:space="preserve">12 (End-of-life treatment of sold products)</w:t>
            </w:r>
          </w:p>
        </w:tc>
        <w:tc>
          <w:tcPr/>
          <w:p>
            <w:pPr>
              <w:pStyle w:val="Compact"/>
              <w:jc w:val="left"/>
            </w:pPr>
            <w:r>
              <w:t xml:space="preserve">-0.51</w:t>
            </w:r>
          </w:p>
        </w:tc>
      </w:tr>
      <w:tr>
        <w:tc>
          <w:tcPr>
            <w:gridSpan w:val="3"/>
          </w:tcPr>
          <w:p>
            <w:pPr>
              <w:pStyle w:val="Compact"/>
              <w:jc w:val="right"/>
            </w:pPr>
            <w:r>
              <w:t xml:space="preserve">TOTAL PRODUCT CARBON FOOTPRINT</w:t>
            </w:r>
          </w:p>
        </w:tc>
        <w:tc>
          <w:tcPr/>
          <w:p>
            <w:pPr>
              <w:pStyle w:val="Compact"/>
              <w:jc w:val="left"/>
            </w:pPr>
            <w:r>
              <w:t xml:space="preserve">31.1725 kgCO2e</w:t>
            </w:r>
          </w:p>
        </w:tc>
      </w:tr>
    </w:tbl>
    <w:bookmarkEnd w:id="41"/>
    <w:bookmarkStart w:id="42" w:name="overall-emissions-by-scope"/>
    <w:p>
      <w:pPr>
        <w:pStyle w:val="Heading3"/>
      </w:pPr>
      <w:r>
        <w:t xml:space="preserve">Overall Emissions by Scope:</w:t>
      </w:r>
    </w:p>
    <w:p>
      <w:pPr>
        <w:numPr>
          <w:ilvl w:val="0"/>
          <w:numId w:val="1016"/>
        </w:numPr>
        <w:pStyle w:val="Compact"/>
      </w:pPr>
      <w:r>
        <w:rPr>
          <w:bCs/>
          <w:b/>
        </w:rPr>
        <w:t xml:space="preserve">Scope 1:</w:t>
      </w:r>
      <w:r>
        <w:t xml:space="preserve"> </w:t>
      </w:r>
      <w:r>
        <w:t xml:space="preserve">0.00 kgCO2e (No direct emissions from gwngvrfqpj operations specified in parameters)</w:t>
      </w:r>
    </w:p>
    <w:p>
      <w:pPr>
        <w:numPr>
          <w:ilvl w:val="0"/>
          <w:numId w:val="1016"/>
        </w:numPr>
        <w:pStyle w:val="Compact"/>
      </w:pPr>
      <w:r>
        <w:rPr>
          <w:bCs/>
          <w:b/>
        </w:rPr>
        <w:t xml:space="preserve">Scope 2:</w:t>
      </w:r>
      <w:r>
        <w:t xml:space="preserve"> </w:t>
      </w:r>
      <w:r>
        <w:t xml:space="preserve">3.45 kgCO2e (Purchased electricity for manufacturing)</w:t>
      </w:r>
    </w:p>
    <w:p>
      <w:pPr>
        <w:numPr>
          <w:ilvl w:val="0"/>
          <w:numId w:val="1016"/>
        </w:numPr>
        <w:pStyle w:val="Compact"/>
      </w:pPr>
      <w:r>
        <w:rPr>
          <w:bCs/>
          <w:b/>
        </w:rPr>
        <w:t xml:space="preserve">Scope 3:</w:t>
      </w:r>
      <w:r>
        <w:t xml:space="preserve"> </w:t>
      </w:r>
      <w:r>
        <w:t xml:space="preserve">12.97 (Materials) + 0.2625 (Transportation) + 15.00 (Use Phase) - 0.51 (EoL) = 27.7225 kgCO2e</w:t>
      </w:r>
    </w:p>
    <w:p>
      <w:pPr>
        <w:numPr>
          <w:ilvl w:val="0"/>
          <w:numId w:val="1016"/>
        </w:numPr>
        <w:pStyle w:val="Compact"/>
      </w:pPr>
      <w:r>
        <w:rPr>
          <w:bCs/>
          <w:b/>
        </w:rPr>
        <w:t xml:space="preserve">Total PCF:</w:t>
      </w:r>
      <w:r>
        <w:t xml:space="preserve"> </w:t>
      </w:r>
      <w:r>
        <w:t xml:space="preserve">0.00 + 3.45 + 27.7225 = 31.1725 kgCO2e</w:t>
      </w:r>
    </w:p>
    <w:p>
      <w:r>
        <w:pict>
          <v:rect style="width:0;height:1.5pt" o:hralign="center" o:hrstd="t" o:hr="t"/>
        </w:pict>
      </w:r>
    </w:p>
    <w:bookmarkEnd w:id="42"/>
    <w:bookmarkEnd w:id="43"/>
    <w:bookmarkStart w:id="46" w:name="review-report"/>
    <w:p>
      <w:pPr>
        <w:pStyle w:val="Heading2"/>
      </w:pPr>
      <w:r>
        <w:t xml:space="preserve">5. Review &amp; Report</w:t>
      </w:r>
    </w:p>
    <w:bookmarkStart w:id="44" w:name="hotspots-and-reliability"/>
    <w:p>
      <w:pPr>
        <w:pStyle w:val="Heading3"/>
      </w:pPr>
      <w:r>
        <w:t xml:space="preserve">Hotspots and Reliability</w:t>
      </w:r>
    </w:p>
    <w:p>
      <w:pPr>
        <w:pStyle w:val="FirstParagraph"/>
      </w:pPr>
      <w:r>
        <w:t xml:space="preserve">The primary hotspots for the llrzuiwjqn product\'s carbon footprint are identified as:</w:t>
      </w:r>
    </w:p>
    <w:p>
      <w:pPr>
        <w:numPr>
          <w:ilvl w:val="0"/>
          <w:numId w:val="1017"/>
        </w:numPr>
        <w:pStyle w:val="Compact"/>
      </w:pPr>
      <w:r>
        <w:rPr>
          <w:bCs/>
          <w:b/>
        </w:rPr>
        <w:t xml:space="preserve">Use Phase (Scope 3, Category 11):</w:t>
      </w:r>
      <w:r>
        <w:t xml:space="preserve"> </w:t>
      </w:r>
      <w:r>
        <w:t xml:space="preserve">Accounts for approximately 48.1% of the total footprint, highlighting the significant impact of electricity consumption during the product\'s lifespan. This is particularly relevant for a product with a 5-year lifespan and assumed annual energy consumption.</w:t>
      </w:r>
    </w:p>
    <w:p>
      <w:pPr>
        <w:numPr>
          <w:ilvl w:val="0"/>
          <w:numId w:val="1017"/>
        </w:numPr>
        <w:pStyle w:val="Compact"/>
      </w:pPr>
      <w:r>
        <w:rPr>
          <w:bCs/>
          <w:b/>
        </w:rPr>
        <w:t xml:space="preserve">Materials Acquisition &amp; Processing (Scope 3, Category 1):</w:t>
      </w:r>
      <w:r>
        <w:t xml:space="preserve"> </w:t>
      </w:r>
      <w:r>
        <w:t xml:space="preserve">Contributes about 41.6% of the total, with the Aluminum Casing and Lithium-ion Battery Pack being the most impactful components.</w:t>
      </w:r>
    </w:p>
    <w:p>
      <w:pPr>
        <w:numPr>
          <w:ilvl w:val="0"/>
          <w:numId w:val="1017"/>
        </w:numPr>
        <w:pStyle w:val="Compact"/>
      </w:pPr>
      <w:r>
        <w:rPr>
          <w:bCs/>
          <w:b/>
        </w:rPr>
        <w:t xml:space="preserve">Manufacturing (Scope 2):</w:t>
      </w:r>
      <w:r>
        <w:t xml:space="preserve"> </w:t>
      </w:r>
      <w:r>
        <w:t xml:space="preserve">Represents about 11.1% of the footprint, indicating areas for further improvement in energy efficiency and renewable energy procurement.</w:t>
      </w:r>
    </w:p>
    <w:p>
      <w:pPr>
        <w:pStyle w:val="FirstParagraph"/>
      </w:pPr>
      <w:r>
        <w:t xml:space="preserve">The reliability of this assessment is considered high given the detailed BOM data and specific operational parameters provided. However, as generic emission factors were used for certain processes and transport modes due to data limitations in this simulated report, real-world data from specific suppliers and logistics providers would further enhance accuracy. The assumption of a 95% Scope 3 coverage target, as per 2026 GHG Protocol revisions, ensures a comprehensive view of the value chain.</w:t>
      </w:r>
    </w:p>
    <w:bookmarkEnd w:id="44"/>
    <w:bookmarkStart w:id="45" w:name="recommendations-for-emissions-reduction"/>
    <w:p>
      <w:pPr>
        <w:pStyle w:val="Heading3"/>
      </w:pPr>
      <w:r>
        <w:t xml:space="preserve">Recommendations for Emissions Reduction</w:t>
      </w:r>
    </w:p>
    <w:p>
      <w:pPr>
        <w:numPr>
          <w:ilvl w:val="0"/>
          <w:numId w:val="1018"/>
        </w:numPr>
        <w:pStyle w:val="Compact"/>
      </w:pPr>
      <w:r>
        <w:rPr>
          <w:bCs/>
          <w:b/>
        </w:rPr>
        <w:t xml:space="preserve">Optimize Use Phase Efficiency:</w:t>
      </w:r>
      <w:r>
        <w:t xml:space="preserve"> </w:t>
      </w:r>
      <w:r>
        <w:t xml:space="preserve">Focus on reducing the energy consumption of llrzuiwjqn during its operational lifespan (njtrsxzdqs). This could involve developing more energy-efficient designs, providing power-saving modes, or educating users on efficient product usage.</w:t>
      </w:r>
    </w:p>
    <w:p>
      <w:pPr>
        <w:numPr>
          <w:ilvl w:val="0"/>
          <w:numId w:val="1018"/>
        </w:numPr>
        <w:pStyle w:val="Compact"/>
      </w:pPr>
      <w:r>
        <w:rPr>
          <w:bCs/>
          <w:b/>
        </w:rPr>
        <w:t xml:space="preserve">Sustainable Material Sourcing:</w:t>
      </w:r>
      <w:r>
        <w:t xml:space="preserve"> </w:t>
      </w:r>
      <w:r>
        <w:t xml:space="preserve">Investigate alternative materials for the Aluminum Casing and Lithium-ion Battery Pack with lower embodied carbon, or source from suppliers committed to low-carbon production processes. Prioritize materials with higher recycled content.</w:t>
      </w:r>
    </w:p>
    <w:p>
      <w:pPr>
        <w:numPr>
          <w:ilvl w:val="0"/>
          <w:numId w:val="1018"/>
        </w:numPr>
        <w:pStyle w:val="Compact"/>
      </w:pPr>
      <w:r>
        <w:rPr>
          <w:bCs/>
          <w:b/>
        </w:rPr>
        <w:t xml:space="preserve">Increase Renewable Energy in Manufacturing:</w:t>
      </w:r>
      <w:r>
        <w:t xml:space="preserve"> </w:t>
      </w:r>
      <w:r>
        <w:t xml:space="preserve">While 70% renewable energy (mhygpufxoe) is good, aiming for 100% renewable energy at the manufacturing facility in China would significantly reduce Scope 2 emissions.</w:t>
      </w:r>
    </w:p>
    <w:p>
      <w:pPr>
        <w:numPr>
          <w:ilvl w:val="0"/>
          <w:numId w:val="1018"/>
        </w:numPr>
        <w:pStyle w:val="Compact"/>
      </w:pPr>
      <w:r>
        <w:rPr>
          <w:bCs/>
          <w:b/>
        </w:rPr>
        <w:t xml:space="preserve">Enhance Circularity:</w:t>
      </w:r>
      <w:r>
        <w:t xml:space="preserve"> </w:t>
      </w:r>
      <w:r>
        <w:t xml:space="preserve">Further expand and promote the existing take-back program (qlgvxgfxow) to maximize the collection and effective recycling or refurbishment of end-of-life products. Explore options for extending product lifespan (leryjnrwmg) through modular design or repair services.</w:t>
      </w:r>
    </w:p>
    <w:p>
      <w:pPr>
        <w:numPr>
          <w:ilvl w:val="0"/>
          <w:numId w:val="1018"/>
        </w:numPr>
        <w:pStyle w:val="Compact"/>
      </w:pPr>
      <w:r>
        <w:rPr>
          <w:bCs/>
          <w:b/>
        </w:rPr>
        <w:t xml:space="preserve">Logistics Optimization:</w:t>
      </w:r>
      <w:r>
        <w:t xml:space="preserve"> </w:t>
      </w:r>
      <w:r>
        <w:t xml:space="preserve">Although a smaller hotspot, optimizing transport routes and exploring lower-emission freight options for primary transport to Europe (Select Mode, tphwjqjprx) and last-mile delivery (Delivery Type) can contribute to overall reductions.</w:t>
      </w:r>
    </w:p>
    <w:p>
      <w:r>
        <w:pict>
          <v:rect style="width:0;height:1.5pt" o:hralign="center" o:hrstd="t" o:hr="t"/>
        </w:pict>
      </w:r>
    </w:p>
    <w:p>
      <w:pPr>
        <w:pStyle w:val="FirstParagraph"/>
      </w:pPr>
      <w:r>
        <w:t xml:space="preserve">Confidential - Internal Use Only | Page</w:t>
      </w:r>
      <w:r>
        <w:t xml:space="preserve"> </w:t>
      </w:r>
    </w:p>
    <w:bookmarkEnd w:id="45"/>
    <w:bookmarkEnd w:id="46"/>
    <w:bookmarkEnd w:id="4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llrzuiwjqn</dc:title>
  <dc:creator/>
  <dc:description>Detailed Product Carbon Footprint (PCF) analysis report for llrzuiwjqn by vtxkxoevkl, Senior Sustainability Consultant for gwngvrfqpj, adhering to GHG Protocol standards and 2026 updates.</dc:description>
  <dc:language>en</dc:language>
  <cp:keywords/>
  <dcterms:created xsi:type="dcterms:W3CDTF">2026-07-15T18:43:11Z</dcterms:created>
  <dcterms:modified xsi:type="dcterms:W3CDTF">2026-07-15T18:43:11Z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