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lkrzfxufvj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lkrzfxufvj</w:t>
      </w:r>
    </w:p>
    <w:p>
      <w:pPr>
        <w:pStyle w:val="BodyText"/>
      </w:pPr>
      <w:r>
        <w:rPr>
          <w:bCs/>
          <w:b/>
        </w:rPr>
        <w:t xml:space="preserve">Company:</w:t>
      </w:r>
      <w:r>
        <w:t xml:space="preserve"> </w:t>
      </w:r>
      <w:r>
        <w:t xml:space="preserve">wwiieuszvi</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oumlmjivrz</w:t>
      </w:r>
    </w:p>
    <w:p>
      <w:pPr>
        <w:pStyle w:val="BodyText"/>
      </w:pPr>
      <w:r>
        <w:t xml:space="preserve">Disclaimer: This report is generated based on available data and industry standards.</w:t>
      </w:r>
      <w:r>
        <w:t xml:space="preserve"> </w:t>
      </w:r>
      <w:r>
        <w:t xml:space="preserve">While efforts have been made to ensure accuracy, the actual carbon footprint may vary</w:t>
      </w:r>
      <w:r>
        <w:t xml:space="preserve"> </w:t>
      </w:r>
      <w:r>
        <w:t xml:space="preserve">depending on specific operational details and real-time data fluctuations.</w:t>
      </w:r>
    </w:p>
    <w:bookmarkEnd w:id="20"/>
    <w:p>
      <w:pPr>
        <w:pStyle w:val="BodyText"/>
      </w:pPr>
      <w:r>
        <w:t xml:space="preserve">Generated Date: May 20, 2026</w:t>
      </w:r>
    </w:p>
    <w:bookmarkStart w:id="50" w:name="Xedb88d473f67838070855bd7c19969f3344ed40"/>
    <w:p>
      <w:pPr>
        <w:pStyle w:val="Heading1"/>
      </w:pPr>
      <w:r>
        <w:t xml:space="preserve">Product Carbon Footprint Analysis for lkrzfxufvj</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\'lkrzfxufvj\', manufactured by \'wwiieuszvi\'. The analysis, conducted by Senior Sustainability Consultant oumlmjivrz, adheres strictly to the GHG Protocol, including the 2026 Land Sector and Removals (LSR) Standard update and ensuring over 95% Scope 3 coverage. The primary goal is to quantify the greenhouse gas emissions associated with the product across its entire lifecycle, identify hotspots, and provide actionable insights for emission reduction. This assessment covers emissions from material acquisition, manufacturing, transportation, use-phase, and end-of-life scenarios, providing a comprehensive view of the product\'s environmental impact.</w:t>
      </w:r>
    </w:p>
    <w:p>
      <w:r>
        <w:pict>
          <v:rect style="width:0;height:1.5pt" o:hralign="center" o:hrstd="t" o:hr="t"/>
        </w:pict>
      </w:r>
    </w:p>
    <w:bookmarkEnd w:id="21"/>
    <w:bookmarkStart w:id="26" w:name="introduction-and-scope-definition"/>
    <w:p>
      <w:pPr>
        <w:pStyle w:val="Heading2"/>
      </w:pPr>
      <w:r>
        <w:t xml:space="preserve">1. Introduction and Scope Definition</w:t>
      </w:r>
    </w:p>
    <w:p>
      <w:pPr>
        <w:pStyle w:val="FirstParagraph"/>
      </w:pPr>
      <w:r>
        <w:t xml:space="preserve">This Product Carbon Footprint (PCF) analysis for \'lkrzfxufvj\' by \'wwiieuszvi\' is conducted according to the guidelines set forth by the **GHG Protocol**. This standard provides a robust and widely recognized framework for measuring and managing greenhouse gas emissions.</w:t>
      </w:r>
    </w:p>
    <w:bookmarkStart w:id="22" w:name="functional-unit"/>
    <w:p>
      <w:pPr>
        <w:pStyle w:val="Heading3"/>
      </w:pPr>
      <w:r>
        <w:t xml:space="preserve">1.1 Functional Unit</w:t>
      </w:r>
    </w:p>
    <w:p>
      <w:pPr>
        <w:pStyle w:val="FirstParagraph"/>
      </w:pPr>
      <w:r>
        <w:t xml:space="preserve">The functional unit for this PCF study is **1.0 unit** of \'lkrzfxufvj\'. All emissions are calculated and expressed per functional unit, allowing for standardized comparison and clear quantification.</w:t>
      </w:r>
    </w:p>
    <w:bookmarkEnd w:id="22"/>
    <w:bookmarkStart w:id="23" w:name="system-boundary"/>
    <w:p>
      <w:pPr>
        <w:pStyle w:val="Heading3"/>
      </w:pPr>
      <w:r>
        <w:t xml:space="preserve">1.2 System Boundary</w:t>
      </w:r>
    </w:p>
    <w:p>
      <w:pPr>
        <w:pStyle w:val="FirstParagraph"/>
      </w:pPr>
      <w:r>
        <w:t xml:space="preserve">The system boundary for this assessment is **factory_gate**. This "cradle-to-gate" boundary encompasses all emissions from raw material extraction, processing, component manufacturing, and the product\'s assembly up to the point it leaves the final production factory. However, to meet the detailed requirements, the analysis extends beyond factory_gate to include downstream transportation, the use phase, and end-of-life scenarios, effectively making it a "cradle-to-grave" analysis for comprehensiveness.</w:t>
      </w:r>
    </w:p>
    <w:bookmarkEnd w:id="23"/>
    <w:bookmarkStart w:id="24" w:name="geographic-scope"/>
    <w:p>
      <w:pPr>
        <w:pStyle w:val="Heading3"/>
      </w:pPr>
      <w:r>
        <w:t xml:space="preserve">1.3 Geographic Scope</w:t>
      </w:r>
    </w:p>
    <w:p>
      <w:pPr>
        <w:pStyle w:val="FirstParagraph"/>
      </w:pPr>
      <w:r>
        <w:t xml:space="preserve">The **Final Production Country** is **China**, with a **Supply Chain Focus** on **Europe Focused** for upstream and downstream activities where relevant. This geographic scope dictates the selection of region-specific emission factors for energy grids and transportation.</w:t>
      </w:r>
    </w:p>
    <w:bookmarkEnd w:id="24"/>
    <w:bookmarkStart w:id="25" w:name="allocation"/>
    <w:p>
      <w:pPr>
        <w:pStyle w:val="Heading3"/>
      </w:pPr>
      <w:r>
        <w:t xml:space="preserve">1.4 Allocation</w:t>
      </w:r>
    </w:p>
    <w:p>
      <w:pPr>
        <w:pStyle w:val="FirstParagraph"/>
      </w:pPr>
      <w:r>
        <w:t xml:space="preserve">Emissions are allocated directly to the functional unit based on mass and energy consumption. For co-products or by-products, mass allocation is applied where appropriate, though the current analysis assumes direct allocation to the \'lkrzfxufvj\' product.</w:t>
      </w:r>
    </w:p>
    <w:p>
      <w:r>
        <w:pict>
          <v:rect style="width:0;height:1.5pt" o:hralign="center" o:hrstd="t" o:hr="t"/>
        </w:pict>
      </w:r>
    </w:p>
    <w:bookmarkEnd w:id="25"/>
    <w:bookmarkEnd w:id="26"/>
    <w:bookmarkStart w:id="28" w:name="methodology-and-lifecycle-mapping"/>
    <w:p>
      <w:pPr>
        <w:pStyle w:val="Heading2"/>
      </w:pPr>
      <w:r>
        <w:t xml:space="preserve">2. Methodology and Lifecycle Mapping</w:t>
      </w:r>
    </w:p>
    <w:p>
      <w:pPr>
        <w:pStyle w:val="FirstParagraph"/>
      </w:pPr>
      <w:r>
        <w:t xml:space="preserve">The PCF analysis follows a five-step methodology in line with the GHG Protocol Product Standard:</w:t>
      </w:r>
    </w:p>
    <w:p>
      <w:pPr>
        <w:numPr>
          <w:ilvl w:val="0"/>
          <w:numId w:val="1001"/>
        </w:numPr>
        <w:pStyle w:val="Compact"/>
      </w:pPr>
      <w:r>
        <w:t xml:space="preserve">**Define Scope:** As detailed above, establishing the functional unit, system boundaries, geographic scope, and allocation rules.</w:t>
      </w:r>
    </w:p>
    <w:p>
      <w:pPr>
        <w:numPr>
          <w:ilvl w:val="0"/>
          <w:numId w:val="1001"/>
        </w:numPr>
        <w:pStyle w:val="Compact"/>
      </w:pPr>
      <w:r>
        <w:t xml:space="preserve">**Map Lifecycle (LCI inventory stages):** Identifying all relevant processes and stages throughout the product\'s lifecycle.</w:t>
      </w:r>
    </w:p>
    <w:p>
      <w:pPr>
        <w:numPr>
          <w:ilvl w:val="0"/>
          <w:numId w:val="1001"/>
        </w:numPr>
        <w:pStyle w:val="Compact"/>
      </w:pPr>
      <w:r>
        <w:t xml:space="preserve">**Collect Data (Primary/Secondary data points):** Gathering quantitative data for each identified process.</w:t>
      </w:r>
    </w:p>
    <w:p>
      <w:pPr>
        <w:numPr>
          <w:ilvl w:val="0"/>
          <w:numId w:val="1001"/>
        </w:numPr>
        <w:pStyle w:val="Compact"/>
      </w:pPr>
      <w:r>
        <w:t xml:space="preserve">**Calculate Emissions (Activity * Emission Factor = CO2e):** Applying appropriate emission factors to activity data to quantify GHG emissions.</w:t>
      </w:r>
    </w:p>
    <w:p>
      <w:pPr>
        <w:numPr>
          <w:ilvl w:val="0"/>
          <w:numId w:val="1001"/>
        </w:numPr>
        <w:pStyle w:val="Compact"/>
      </w:pPr>
      <w:r>
        <w:t xml:space="preserve">**Review &amp; Report:** Analyzing results, identifying hotspots, assessing data reliability, and presenting findings.</w:t>
      </w:r>
    </w:p>
    <w:bookmarkStart w:id="27" w:name="lifecycle-inventory-stages"/>
    <w:p>
      <w:pPr>
        <w:pStyle w:val="Heading3"/>
      </w:pPr>
      <w:r>
        <w:t xml:space="preserve">2.1 Lifecycle Inventory Stages</w:t>
      </w:r>
    </w:p>
    <w:p>
      <w:pPr>
        <w:pStyle w:val="FirstParagraph"/>
      </w:pPr>
      <w:r>
        <w:t xml:space="preserve">The following lifecycle stages have been mapped for \'lkrzfxufvj\':</w:t>
      </w:r>
    </w:p>
    <w:p>
      <w:pPr>
        <w:numPr>
          <w:ilvl w:val="0"/>
          <w:numId w:val="1002"/>
        </w:numPr>
        <w:pStyle w:val="Compact"/>
      </w:pPr>
      <w:r>
        <w:t xml:space="preserve">**Raw Material Acquisition &amp; Pre-processing:** Extraction and processing of all materials listed in the Bill of Materials (BOM).</w:t>
      </w:r>
    </w:p>
    <w:p>
      <w:pPr>
        <w:numPr>
          <w:ilvl w:val="0"/>
          <w:numId w:val="1002"/>
        </w:numPr>
        <w:pStyle w:val="Compact"/>
      </w:pPr>
      <w:r>
        <w:t xml:space="preserve">**Manufacturing:** Production and assembly of \'lkrzfxufvj\' at the wwiieuszvi facility in China.</w:t>
      </w:r>
    </w:p>
    <w:p>
      <w:pPr>
        <w:numPr>
          <w:ilvl w:val="0"/>
          <w:numId w:val="1002"/>
        </w:numPr>
        <w:pStyle w:val="Compact"/>
      </w:pPr>
      <w:r>
        <w:t xml:space="preserve">**Transportation (Upstream):** Transport of raw materials and components to the manufacturing facility.</w:t>
      </w:r>
    </w:p>
    <w:p>
      <w:pPr>
        <w:numPr>
          <w:ilvl w:val="0"/>
          <w:numId w:val="1002"/>
        </w:numPr>
        <w:pStyle w:val="Compact"/>
      </w:pPr>
      <w:r>
        <w:t xml:space="preserve">**Transportation (Downstream):** Distribution of the finished product to the end-consumer (including last-mile delivery).</w:t>
      </w:r>
    </w:p>
    <w:p>
      <w:pPr>
        <w:numPr>
          <w:ilvl w:val="0"/>
          <w:numId w:val="1002"/>
        </w:numPr>
        <w:pStyle w:val="Compact"/>
      </w:pPr>
      <w:r>
        <w:t xml:space="preserve">**Use Phase:** Energy consumption during the product\'s operational lifespan.</w:t>
      </w:r>
    </w:p>
    <w:p>
      <w:pPr>
        <w:numPr>
          <w:ilvl w:val="0"/>
          <w:numId w:val="1002"/>
        </w:numPr>
        <w:pStyle w:val="Compact"/>
      </w:pPr>
      <w:r>
        <w:t xml:space="preserve">**End-of-Life (EoL):** Disposal, recycling, and potential circular economy impacts.</w:t>
      </w:r>
    </w:p>
    <w:p>
      <w:r>
        <w:pict>
          <v:rect style="width:0;height:1.5pt" o:hralign="center" o:hrstd="t" o:hr="t"/>
        </w:pict>
      </w:r>
    </w:p>
    <w:bookmarkEnd w:id="27"/>
    <w:bookmarkEnd w:id="28"/>
    <w:bookmarkStart w:id="34" w:name="data-collection-and-inputs"/>
    <w:p>
      <w:pPr>
        <w:pStyle w:val="Heading2"/>
      </w:pPr>
      <w:r>
        <w:t xml:space="preserve">3. Data Collection and Inputs</w:t>
      </w:r>
    </w:p>
    <w:p>
      <w:pPr>
        <w:pStyle w:val="FirstParagraph"/>
      </w:pPr>
      <w:r>
        <w:t xml:space="preserve">This section details the primary and secondary data points used for the PCF calculation.</w:t>
      </w:r>
    </w:p>
    <w:bookmarkStart w:id="29" w:name="detailed-bill-of-materials-bom"/>
    <w:p>
      <w:pPr>
        <w:pStyle w:val="Heading3"/>
      </w:pPr>
      <w:r>
        <w:t xml:space="preserve">3.1 Detailed Bill of Materials (BOM)</w:t>
      </w:r>
    </w:p>
    <w:p>
      <w:pPr>
        <w:pStyle w:val="FirstParagraph"/>
      </w:pPr>
      <w:r>
        <w:t xml:space="preserve">The following detailed Bill of Materials (BOM) for \'lkrzfxufvj\' (deekxuqg) was utilized for high-accuracy material impact calculation. The "Total Carbon" below is derived from multiplying "Qty" by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M002</w:t>
            </w:r>
          </w:p>
        </w:tc>
        <w:tc>
          <w:tcPr/>
          <w:p>
            <w:pPr>
              <w:pStyle w:val="Compact"/>
              <w:jc w:val="left"/>
            </w:pPr>
            <w:r>
              <w:t xml:space="preserve">Plastic Housing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bl>
    <w:p>
      <w:pPr>
        <w:pStyle w:val="BodyText"/>
      </w:pPr>
      <w:r>
        <w:rPr>
          <w:iCs/>
          <w:i/>
        </w:rPr>
        <w:t xml:space="preserve">Note: Emission Factors are simulated industry-standard values (e.g., Ecoinvent/DEFRA equivalents).</w:t>
      </w:r>
    </w:p>
    <w:bookmarkEnd w:id="29"/>
    <w:bookmarkStart w:id="30" w:name="energy-inputs-manufacturing-phase"/>
    <w:p>
      <w:pPr>
        <w:pStyle w:val="Heading3"/>
      </w:pPr>
      <w:r>
        <w:t xml:space="preserve">3.2 Energy Inputs (Manufacturing Phase)</w:t>
      </w:r>
    </w:p>
    <w:p>
      <w:pPr>
        <w:numPr>
          <w:ilvl w:val="0"/>
          <w:numId w:val="1003"/>
        </w:numPr>
        <w:pStyle w:val="Compact"/>
      </w:pPr>
      <w:r>
        <w:t xml:space="preserve">**Energy Intensity (kWh/unit):** 15 kWh/unit (uxjnzousui)</w:t>
      </w:r>
    </w:p>
    <w:p>
      <w:pPr>
        <w:numPr>
          <w:ilvl w:val="0"/>
          <w:numId w:val="1003"/>
        </w:numPr>
        <w:pStyle w:val="Compact"/>
      </w:pPr>
      <w:r>
        <w:t xml:space="preserve">**Renewable Energy Usage:** 70% (ekteqpsdgz)</w:t>
      </w:r>
      <w:r>
        <w:br/>
      </w:r>
      <w:r>
        <w:t xml:space="preserve">This indicates that 70% of the electricity consumed during manufacturing is from renewable sources, significantly reducing Scope 2 emissions. The remaining 30% is sourced from the conventional grid in China.</w:t>
      </w:r>
    </w:p>
    <w:p>
      <w:pPr>
        <w:numPr>
          <w:ilvl w:val="0"/>
          <w:numId w:val="1003"/>
        </w:numPr>
        <w:pStyle w:val="Compact"/>
      </w:pPr>
      <w:r>
        <w:t xml:space="preserve">**China Grid Emission Factor:** 0.6 kg CO2e/kWh (Simulated industry average for China).</w:t>
      </w:r>
    </w:p>
    <w:bookmarkEnd w:id="30"/>
    <w:bookmarkStart w:id="31" w:name="logistics-data"/>
    <w:p>
      <w:pPr>
        <w:pStyle w:val="Heading3"/>
      </w:pPr>
      <w:r>
        <w:t xml:space="preserve">3.3 Logistics Data</w:t>
      </w:r>
    </w:p>
    <w:p>
      <w:pPr>
        <w:numPr>
          <w:ilvl w:val="0"/>
          <w:numId w:val="1004"/>
        </w:numPr>
        <w:pStyle w:val="Compact"/>
      </w:pPr>
      <w:r>
        <w:t xml:space="preserve">**Transport Mode:** Road Freight (HGV &gt; 16t) (Select Mode)</w:t>
      </w:r>
    </w:p>
    <w:p>
      <w:pPr>
        <w:numPr>
          <w:ilvl w:val="0"/>
          <w:numId w:val="1004"/>
        </w:numPr>
        <w:pStyle w:val="Compact"/>
      </w:pPr>
      <w:r>
        <w:t xml:space="preserve">**Transport Distance (Upstream/Downstream):** 800 km (yetijjokkd)</w:t>
      </w:r>
    </w:p>
    <w:p>
      <w:pPr>
        <w:numPr>
          <w:ilvl w:val="0"/>
          <w:numId w:val="1004"/>
        </w:numPr>
        <w:pStyle w:val="Compact"/>
      </w:pPr>
      <w:r>
        <w:t xml:space="preserve">**Last-Mile Delivery Channel:** Parcel Courier (Delivery Type)</w:t>
      </w:r>
    </w:p>
    <w:p>
      <w:pPr>
        <w:numPr>
          <w:ilvl w:val="0"/>
          <w:numId w:val="1004"/>
        </w:numPr>
        <w:pStyle w:val="Compact"/>
      </w:pPr>
      <w:r>
        <w:t xml:space="preserve">**Road Freight Emission Factor:** 0.09 kg CO2e/tonne-km (Simulated industry average).</w:t>
      </w:r>
    </w:p>
    <w:p>
      <w:pPr>
        <w:numPr>
          <w:ilvl w:val="0"/>
          <w:numId w:val="1004"/>
        </w:numPr>
        <w:pStyle w:val="Compact"/>
      </w:pPr>
      <w:r>
        <w:t xml:space="preserve">**Parcel Courier Emission Factor (last-mile):** 0.5 kg CO2e/package (Simulated average for last-mile delivery vans).</w:t>
      </w:r>
    </w:p>
    <w:p>
      <w:pPr>
        <w:numPr>
          <w:ilvl w:val="0"/>
          <w:numId w:val="1004"/>
        </w:numPr>
        <w:pStyle w:val="Compact"/>
      </w:pPr>
      <w:r>
        <w:t xml:space="preserve">**Total Product Weight (estimated from BOM \'kg\' units + PCB assumed at 0.1kg):** 1.15 kg</w:t>
      </w:r>
    </w:p>
    <w:bookmarkEnd w:id="31"/>
    <w:bookmarkStart w:id="32" w:name="use-phase-data"/>
    <w:p>
      <w:pPr>
        <w:pStyle w:val="Heading3"/>
      </w:pPr>
      <w:r>
        <w:t xml:space="preserve">3.4 Use Phase Data</w:t>
      </w:r>
    </w:p>
    <w:p>
      <w:pPr>
        <w:numPr>
          <w:ilvl w:val="0"/>
          <w:numId w:val="1005"/>
        </w:numPr>
        <w:pStyle w:val="Compact"/>
      </w:pPr>
      <w:r>
        <w:t xml:space="preserve">**Product Lifespan:** 5 years (nsjhhidvpe)</w:t>
      </w:r>
    </w:p>
    <w:p>
      <w:pPr>
        <w:numPr>
          <w:ilvl w:val="0"/>
          <w:numId w:val="1005"/>
        </w:numPr>
        <w:pStyle w:val="Compact"/>
      </w:pPr>
      <w:r>
        <w:t xml:space="preserve">**Energy Consumption in Use:** 20 kWh/year (kgfpvhesjd)</w:t>
      </w:r>
    </w:p>
    <w:p>
      <w:pPr>
        <w:numPr>
          <w:ilvl w:val="0"/>
          <w:numId w:val="1005"/>
        </w:numPr>
        <w:pStyle w:val="Compact"/>
      </w:pPr>
      <w:r>
        <w:t xml:space="preserve">**EU Average Grid Emission Factor (for use phase):** 0.25 kg CO2e/kWh (Simulated industry average for European grid, assuming product is used in Europe).</w:t>
      </w:r>
    </w:p>
    <w:bookmarkEnd w:id="32"/>
    <w:bookmarkStart w:id="33" w:name="end-of-life-eol-scenarios"/>
    <w:p>
      <w:pPr>
        <w:pStyle w:val="Heading3"/>
      </w:pPr>
      <w:r>
        <w:t xml:space="preserve">3.5 End-of-Life (EoL) Scenarios</w:t>
      </w:r>
    </w:p>
    <w:p>
      <w:pPr>
        <w:numPr>
          <w:ilvl w:val="0"/>
          <w:numId w:val="1006"/>
        </w:numPr>
        <w:pStyle w:val="Compact"/>
      </w:pPr>
      <w:r>
        <w:t xml:space="preserve">**Recyclability Percentage:** 85% (svrmtjnffq)</w:t>
      </w:r>
    </w:p>
    <w:p>
      <w:pPr>
        <w:numPr>
          <w:ilvl w:val="0"/>
          <w:numId w:val="1006"/>
        </w:numPr>
        <w:pStyle w:val="Compact"/>
      </w:pPr>
      <w:r>
        <w:t xml:space="preserve">**Circular/Take-back Programs:** Yes, internal product take-back program with material recovery and recycling. (nkediiokdx)</w:t>
      </w:r>
    </w:p>
    <w:p>
      <w:pPr>
        <w:numPr>
          <w:ilvl w:val="0"/>
          <w:numId w:val="1006"/>
        </w:numPr>
        <w:pStyle w:val="Compact"/>
      </w:pPr>
      <w:r>
        <w:t xml:space="preserve">**Landfill Emission Factor (for non-recycled portion):** 1.0 kg CO2e/kg (Simulated average).</w:t>
      </w:r>
    </w:p>
    <w:p>
      <w:pPr>
        <w:numPr>
          <w:ilvl w:val="0"/>
          <w:numId w:val="1006"/>
        </w:numPr>
        <w:pStyle w:val="Compact"/>
      </w:pPr>
      <w:r>
        <w:t xml:space="preserve">**Avoided Emissions from Recycling:** -2.0 kg CO2e/kg (Simulated average credit for displacing virgin material).</w:t>
      </w:r>
    </w:p>
    <w:p>
      <w:r>
        <w:pict>
          <v:rect style="width:0;height:1.5pt" o:hralign="center" o:hrstd="t" o:hr="t"/>
        </w:pict>
      </w:r>
    </w:p>
    <w:bookmarkEnd w:id="33"/>
    <w:bookmarkEnd w:id="34"/>
    <w:bookmarkStart w:id="44" w:name="Xdd0f433185fde5fd9508eee9e1e7bcaa542b608"/>
    <w:p>
      <w:pPr>
        <w:pStyle w:val="Heading2"/>
      </w:pPr>
      <w:r>
        <w:t xml:space="preserve">4. Emission Calculation and GHG Protocol Categorization</w:t>
      </w:r>
    </w:p>
    <w:p>
      <w:pPr>
        <w:pStyle w:val="FirstParagraph"/>
      </w:pPr>
      <w:r>
        <w:t xml:space="preserve">Emissions are calculated for each lifecycle stage and categorized according to the GHG Protocol\'s Scope 1, Scope 2, and Scope 3 definitions. The 2026 Land Sector and Removals (LSR) Standard update is acknowledged, specifically for potential land-use change impacts and carbon removals, though for this product, direct quantifiable LSR impacts are minimal without specific bio-based materials or direct land-use activities associated with its supply chain. However, the methodology is prepared to integrate such data if available. Over 95% Scope 3 coverage is ensured as per 2026 requirements by including all relevant upstream and downstream activities.</w:t>
      </w:r>
    </w:p>
    <w:bookmarkStart w:id="37" w:name="upstream-emissions-scope-3"/>
    <w:p>
      <w:pPr>
        <w:pStyle w:val="Heading3"/>
      </w:pPr>
      <w:r>
        <w:t xml:space="preserve">4.1 Upstream Emissions (Scope 3)</w:t>
      </w:r>
    </w:p>
    <w:p>
      <w:pPr>
        <w:pStyle w:val="FirstParagraph"/>
      </w:pPr>
      <w:r>
        <w:t xml:space="preserve">This includes raw material acquisition and pre-processing, and upstream transportation.</w:t>
      </w:r>
    </w:p>
    <w:bookmarkStart w:id="35" w:name="material-acquisition-pre-processing"/>
    <w:p>
      <w:pPr>
        <w:pStyle w:val="Heading4"/>
      </w:pPr>
      <w:r>
        <w:t xml:space="preserve">4.1.1 Material Acquisition &amp; Pre-processing</w:t>
      </w:r>
    </w:p>
    <w:p>
      <w:pPr>
        <w:pStyle w:val="FirstParagraph"/>
      </w:pPr>
      <w:r>
        <w:t xml:space="preserve">Calculated from the detailed BOM using the specified quantities and emission factors.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Qty (Unit)</w:t>
            </w:r>
          </w:p>
        </w:tc>
        <w:tc>
          <w:tcPr/>
          <w:p>
            <w:pPr>
              <w:pStyle w:val="Compact"/>
              <w:jc w:val="left"/>
            </w:pPr>
            <w:r>
              <w:t xml:space="preserve">Emission Factor (kg CO2e/unit)</w:t>
            </w:r>
          </w:p>
        </w:tc>
        <w:tc>
          <w:tcPr/>
          <w:p>
            <w:pPr>
              <w:pStyle w:val="Compact"/>
              <w:jc w:val="left"/>
            </w:pPr>
            <w:r>
              <w:t xml:space="preserve">Total CO2e (kg)</w:t>
            </w:r>
          </w:p>
        </w:tc>
      </w:tr>
      <w:tr>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0.5 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Plastic Housing (ABS)</w:t>
            </w:r>
          </w:p>
        </w:tc>
        <w:tc>
          <w:tcPr/>
          <w:p>
            <w:pPr>
              <w:pStyle w:val="Compact"/>
              <w:jc w:val="left"/>
            </w:pPr>
            <w:r>
              <w:t xml:space="preserve">Plastic</w:t>
            </w:r>
          </w:p>
        </w:tc>
        <w:tc>
          <w:tcPr/>
          <w:p>
            <w:pPr>
              <w:pStyle w:val="Compact"/>
              <w:jc w:val="left"/>
            </w:pPr>
            <w:r>
              <w:t xml:space="preserve">0.3 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0.1 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Copper Wire</w:t>
            </w:r>
          </w:p>
        </w:tc>
        <w:tc>
          <w:tcPr/>
          <w:p>
            <w:pPr>
              <w:pStyle w:val="Compact"/>
              <w:jc w:val="left"/>
            </w:pPr>
            <w:r>
              <w:t xml:space="preserve">Metal</w:t>
            </w:r>
          </w:p>
        </w:tc>
        <w:tc>
          <w:tcPr/>
          <w:p>
            <w:pPr>
              <w:pStyle w:val="Compact"/>
              <w:jc w:val="left"/>
            </w:pPr>
            <w:r>
              <w:t xml:space="preserve">0.05 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0.2 kg</w:t>
            </w:r>
          </w:p>
        </w:tc>
        <w:tc>
          <w:tcPr/>
          <w:p>
            <w:pPr>
              <w:pStyle w:val="Compact"/>
              <w:jc w:val="left"/>
            </w:pPr>
            <w:r>
              <w:t xml:space="preserve">1.2</w:t>
            </w:r>
          </w:p>
        </w:tc>
        <w:tc>
          <w:tcPr/>
          <w:p>
            <w:pPr>
              <w:pStyle w:val="Compact"/>
              <w:jc w:val="left"/>
            </w:pPr>
            <w:r>
              <w:t xml:space="preserve">0.24</w:t>
            </w:r>
          </w:p>
        </w:tc>
      </w:tr>
      <w:tr>
        <w:tc>
          <w:tcPr>
            <w:gridSpan w:val="4"/>
          </w:tcPr>
          <w:p>
            <w:pPr>
              <w:pStyle w:val="Compact"/>
              <w:jc w:val="right"/>
            </w:pPr>
            <w:r>
              <w:t xml:space="preserve">Subtotal Material Emissions:</w:t>
            </w:r>
          </w:p>
        </w:tc>
        <w:tc>
          <w:tcPr/>
          <w:p>
            <w:pPr>
              <w:pStyle w:val="Compact"/>
              <w:jc w:val="left"/>
            </w:pPr>
            <w:r>
              <w:t xml:space="preserve">6.49</w:t>
            </w:r>
          </w:p>
        </w:tc>
      </w:tr>
    </w:tbl>
    <w:bookmarkEnd w:id="35"/>
    <w:bookmarkStart w:id="36" w:name="upstream-transportation"/>
    <w:p>
      <w:pPr>
        <w:pStyle w:val="Heading4"/>
      </w:pPr>
      <w:r>
        <w:t xml:space="preserve">4.1.2 Upstream Transportation</w:t>
      </w:r>
    </w:p>
    <w:p>
      <w:pPr>
        <w:pStyle w:val="FirstParagraph"/>
      </w:pPr>
      <w:r>
        <w:t xml:space="preserve">Transport of raw materials/components to the China factory. Assuming the total product weight for inbound logistics for simplicity.</w:t>
      </w:r>
    </w:p>
    <w:p>
      <w:pPr>
        <w:numPr>
          <w:ilvl w:val="0"/>
          <w:numId w:val="1007"/>
        </w:numPr>
        <w:pStyle w:val="Compact"/>
      </w:pPr>
      <w:r>
        <w:t xml:space="preserve">Total Product Weight: 1.15 kg = 0.00115 tonnes</w:t>
      </w:r>
    </w:p>
    <w:p>
      <w:pPr>
        <w:numPr>
          <w:ilvl w:val="0"/>
          <w:numId w:val="1007"/>
        </w:numPr>
        <w:pStyle w:val="Compact"/>
      </w:pPr>
      <w:r>
        <w:t xml:space="preserve">Transport Distance: 800 km</w:t>
      </w:r>
    </w:p>
    <w:p>
      <w:pPr>
        <w:numPr>
          <w:ilvl w:val="0"/>
          <w:numId w:val="1007"/>
        </w:numPr>
        <w:pStyle w:val="Compact"/>
      </w:pPr>
      <w:r>
        <w:t xml:space="preserve">Transport Mode: Road Freight (HGV &gt; 16t)</w:t>
      </w:r>
    </w:p>
    <w:p>
      <w:pPr>
        <w:numPr>
          <w:ilvl w:val="0"/>
          <w:numId w:val="1007"/>
        </w:numPr>
        <w:pStyle w:val="Compact"/>
      </w:pPr>
      <w:r>
        <w:t xml:space="preserve">Emission Factor: 0.09 kg CO2e/tonne-km</w:t>
      </w:r>
    </w:p>
    <w:p>
      <w:pPr>
        <w:numPr>
          <w:ilvl w:val="0"/>
          <w:numId w:val="1007"/>
        </w:numPr>
        <w:pStyle w:val="Compact"/>
      </w:pPr>
      <w:r>
        <w:t xml:space="preserve">**Upstream Transport Emissions:** 0.00115 tonnes * 800 km * 0.09 kg CO2e/tonne-km = 0.0828 kg CO2e</w:t>
      </w:r>
    </w:p>
    <w:bookmarkEnd w:id="36"/>
    <w:bookmarkEnd w:id="37"/>
    <w:bookmarkStart w:id="38" w:name="manufacturing-emissions-scope-1-2"/>
    <w:p>
      <w:pPr>
        <w:pStyle w:val="Heading3"/>
      </w:pPr>
      <w:r>
        <w:t xml:space="preserve">4.2 Manufacturing Emissions (Scope 1 &amp; 2)</w:t>
      </w:r>
    </w:p>
    <w:p>
      <w:pPr>
        <w:pStyle w:val="FirstParagraph"/>
      </w:pPr>
      <w:r>
        <w:t xml:space="preserve">These are direct (Scope 1) and energy-related (Scope 2) emissions from the wwiieuszvi manufacturing facility in China.</w:t>
      </w:r>
    </w:p>
    <w:p>
      <w:pPr>
        <w:numPr>
          <w:ilvl w:val="0"/>
          <w:numId w:val="1008"/>
        </w:numPr>
        <w:pStyle w:val="Compact"/>
      </w:pPr>
      <w:r>
        <w:t xml:space="preserve">Total Energy Intensity: 15 kWh/unit</w:t>
      </w:r>
    </w:p>
    <w:p>
      <w:pPr>
        <w:numPr>
          <w:ilvl w:val="0"/>
          <w:numId w:val="1008"/>
        </w:numPr>
        <w:pStyle w:val="Compact"/>
      </w:pPr>
      <w:r>
        <w:t xml:space="preserve">Renewable Energy Usage: 70%</w:t>
      </w:r>
    </w:p>
    <w:p>
      <w:pPr>
        <w:numPr>
          <w:ilvl w:val="0"/>
          <w:numId w:val="1008"/>
        </w:numPr>
        <w:pStyle w:val="Compact"/>
      </w:pPr>
      <w:r>
        <w:t xml:space="preserve">Non-renewable Energy Usage: 30% (1 - 0.70) = 4.5 kWh/unit (15 kWh * 0.30)</w:t>
      </w:r>
    </w:p>
    <w:p>
      <w:pPr>
        <w:numPr>
          <w:ilvl w:val="0"/>
          <w:numId w:val="1008"/>
        </w:numPr>
        <w:pStyle w:val="Compact"/>
      </w:pPr>
      <w:r>
        <w:t xml:space="preserve">Renewable Energy Used: 10.5 kWh/unit (15 kWh * 0.70)</w:t>
      </w:r>
    </w:p>
    <w:p>
      <w:pPr>
        <w:numPr>
          <w:ilvl w:val="0"/>
          <w:numId w:val="1008"/>
        </w:numPr>
        <w:pStyle w:val="Compact"/>
      </w:pPr>
      <w:r>
        <w:t xml:space="preserve">China Grid Emission Factor: 0.6 kg CO2e/kWh</w:t>
      </w:r>
    </w:p>
    <w:p>
      <w:pPr>
        <w:numPr>
          <w:ilvl w:val="0"/>
          <w:numId w:val="1008"/>
        </w:numPr>
        <w:pStyle w:val="Compact"/>
      </w:pPr>
      <w:r>
        <w:t xml:space="preserve">**Scope 2 Emissions (Grid Electricity):** 4.5 kWh/unit * 0.6 kg CO2e/kWh = 2.70 kg CO2e/unit</w:t>
      </w:r>
    </w:p>
    <w:p>
      <w:pPr>
        <w:numPr>
          <w:ilvl w:val="0"/>
          <w:numId w:val="1008"/>
        </w:numPr>
        <w:pStyle w:val="Compact"/>
      </w:pPr>
      <w:r>
        <w:t xml:space="preserve">**Scope 1 Emissions (Direct, e.g., on-site fuel combustion):** Assumed negligible or zero as no specific data provided.</w:t>
      </w:r>
    </w:p>
    <w:p>
      <w:pPr>
        <w:numPr>
          <w:ilvl w:val="0"/>
          <w:numId w:val="1008"/>
        </w:numPr>
        <w:pStyle w:val="Compact"/>
      </w:pPr>
      <w:r>
        <w:t xml:space="preserve">**Renewable Energy Emissions:** Assumed 0 kg CO2e for purchased renewable electricity with attribute tracking.</w:t>
      </w:r>
    </w:p>
    <w:bookmarkEnd w:id="38"/>
    <w:bookmarkStart w:id="42" w:name="downstream-emissions-scope-3"/>
    <w:p>
      <w:pPr>
        <w:pStyle w:val="Heading3"/>
      </w:pPr>
      <w:r>
        <w:t xml:space="preserve">4.3 Downstream Emissions (Scope 3)</w:t>
      </w:r>
    </w:p>
    <w:p>
      <w:pPr>
        <w:pStyle w:val="FirstParagraph"/>
      </w:pPr>
      <w:r>
        <w:t xml:space="preserve">This includes transportation to end-user, use phase, and end-of-life.</w:t>
      </w:r>
    </w:p>
    <w:bookmarkStart w:id="39" w:name="downstream-transportation"/>
    <w:p>
      <w:pPr>
        <w:pStyle w:val="Heading4"/>
      </w:pPr>
      <w:r>
        <w:t xml:space="preserve">4.3.1 Downstream Transportation</w:t>
      </w:r>
    </w:p>
    <w:p>
      <w:pPr>
        <w:pStyle w:val="FirstParagraph"/>
      </w:pPr>
      <w:r>
        <w:t xml:space="preserve">Transport of finished product to the end-consumer, including last-mile delivery.</w:t>
      </w:r>
    </w:p>
    <w:p>
      <w:pPr>
        <w:numPr>
          <w:ilvl w:val="0"/>
          <w:numId w:val="1009"/>
        </w:numPr>
        <w:pStyle w:val="Compact"/>
      </w:pPr>
      <w:r>
        <w:t xml:space="preserve">Product Weight: 1.15 kg = 0.00115 tonnes</w:t>
      </w:r>
    </w:p>
    <w:p>
      <w:pPr>
        <w:numPr>
          <w:ilvl w:val="0"/>
          <w:numId w:val="1009"/>
        </w:numPr>
        <w:pStyle w:val="Compact"/>
      </w:pPr>
      <w:r>
        <w:t xml:space="preserve">Transport Distance (Main): 800 km</w:t>
      </w:r>
    </w:p>
    <w:p>
      <w:pPr>
        <w:numPr>
          <w:ilvl w:val="0"/>
          <w:numId w:val="1009"/>
        </w:numPr>
        <w:pStyle w:val="Compact"/>
      </w:pPr>
      <w:r>
        <w:t xml:space="preserve">Transport Mode: Road Freight (HGV &gt; 16t)</w:t>
      </w:r>
    </w:p>
    <w:p>
      <w:pPr>
        <w:numPr>
          <w:ilvl w:val="0"/>
          <w:numId w:val="1009"/>
        </w:numPr>
        <w:pStyle w:val="Compact"/>
      </w:pPr>
      <w:r>
        <w:t xml:space="preserve">Emission Factor: 0.09 kg CO2e/tonne-km</w:t>
      </w:r>
    </w:p>
    <w:p>
      <w:pPr>
        <w:numPr>
          <w:ilvl w:val="0"/>
          <w:numId w:val="1009"/>
        </w:numPr>
        <w:pStyle w:val="Compact"/>
      </w:pPr>
      <w:r>
        <w:t xml:space="preserve">**Main Transport Emissions:** 0.00115 tonnes * 800 km * 0.09 kg CO2e/tonne-km = 0.0828 kg CO2e</w:t>
      </w:r>
    </w:p>
    <w:p>
      <w:pPr>
        <w:numPr>
          <w:ilvl w:val="0"/>
          <w:numId w:val="1009"/>
        </w:numPr>
        <w:pStyle w:val="Compact"/>
      </w:pPr>
      <w:r>
        <w:t xml:space="preserve">**Last-Mile Delivery Emissions:** 0.5 kg CO2e/package (for 1.0 unit) = 0.50 kg CO2e</w:t>
      </w:r>
    </w:p>
    <w:p>
      <w:pPr>
        <w:numPr>
          <w:ilvl w:val="0"/>
          <w:numId w:val="1009"/>
        </w:numPr>
        <w:pStyle w:val="Compact"/>
      </w:pPr>
      <w:r>
        <w:t xml:space="preserve">**Subtotal Downstream Transport Emissions:** 0.0828 + 0.50 = 0.5828 kg CO2e</w:t>
      </w:r>
    </w:p>
    <w:bookmarkEnd w:id="39"/>
    <w:bookmarkStart w:id="40" w:name="use-phase"/>
    <w:p>
      <w:pPr>
        <w:pStyle w:val="Heading4"/>
      </w:pPr>
      <w:r>
        <w:t xml:space="preserve">4.3.2 Use Phase</w:t>
      </w:r>
    </w:p>
    <w:p>
      <w:pPr>
        <w:pStyle w:val="FirstParagraph"/>
      </w:pPr>
      <w:r>
        <w:t xml:space="preserve">Energy consumption by the product over its lifespan.</w:t>
      </w:r>
    </w:p>
    <w:p>
      <w:pPr>
        <w:numPr>
          <w:ilvl w:val="0"/>
          <w:numId w:val="1010"/>
        </w:numPr>
        <w:pStyle w:val="Compact"/>
      </w:pPr>
      <w:r>
        <w:t xml:space="preserve">Product Lifespan: 5 years</w:t>
      </w:r>
    </w:p>
    <w:p>
      <w:pPr>
        <w:numPr>
          <w:ilvl w:val="0"/>
          <w:numId w:val="1010"/>
        </w:numPr>
        <w:pStyle w:val="Compact"/>
      </w:pPr>
      <w:r>
        <w:t xml:space="preserve">Energy Consumption: 20 kWh/year</w:t>
      </w:r>
    </w:p>
    <w:p>
      <w:pPr>
        <w:numPr>
          <w:ilvl w:val="0"/>
          <w:numId w:val="1010"/>
        </w:numPr>
        <w:pStyle w:val="Compact"/>
      </w:pPr>
      <w:r>
        <w:t xml:space="preserve">Total Energy Consumption over Lifespan: 20 kWh/year * 5 years = 100 kWh</w:t>
      </w:r>
    </w:p>
    <w:p>
      <w:pPr>
        <w:numPr>
          <w:ilvl w:val="0"/>
          <w:numId w:val="1010"/>
        </w:numPr>
        <w:pStyle w:val="Compact"/>
      </w:pPr>
      <w:r>
        <w:t xml:space="preserve">EU Average Grid Emission Factor: 0.25 kg CO2e/kWh</w:t>
      </w:r>
    </w:p>
    <w:p>
      <w:pPr>
        <w:numPr>
          <w:ilvl w:val="0"/>
          <w:numId w:val="1010"/>
        </w:numPr>
        <w:pStyle w:val="Compact"/>
      </w:pPr>
      <w:r>
        <w:t xml:space="preserve">**Use Phase Emissions:** 100 kWh * 0.25 kg CO2e/kWh = 25.00 kg CO2e</w:t>
      </w:r>
    </w:p>
    <w:bookmarkEnd w:id="40"/>
    <w:bookmarkStart w:id="41" w:name="end-of-life-eol"/>
    <w:p>
      <w:pPr>
        <w:pStyle w:val="Heading4"/>
      </w:pPr>
      <w:r>
        <w:t xml:space="preserve">4.3.3 End-of-Life (EoL)</w:t>
      </w:r>
    </w:p>
    <w:p>
      <w:pPr>
        <w:pStyle w:val="FirstParagraph"/>
      </w:pPr>
      <w:r>
        <w:t xml:space="preserve">Disposal and recycling impacts.</w:t>
      </w:r>
    </w:p>
    <w:p>
      <w:pPr>
        <w:numPr>
          <w:ilvl w:val="0"/>
          <w:numId w:val="1011"/>
        </w:numPr>
        <w:pStyle w:val="Compact"/>
      </w:pPr>
      <w:r>
        <w:t xml:space="preserve">Product Weight: 1.15 kg</w:t>
      </w:r>
    </w:p>
    <w:p>
      <w:pPr>
        <w:numPr>
          <w:ilvl w:val="0"/>
          <w:numId w:val="1011"/>
        </w:numPr>
        <w:pStyle w:val="Compact"/>
      </w:pPr>
      <w:r>
        <w:t xml:space="preserve">Recyclability Percentage: 85%</w:t>
      </w:r>
    </w:p>
    <w:p>
      <w:pPr>
        <w:numPr>
          <w:ilvl w:val="0"/>
          <w:numId w:val="1011"/>
        </w:numPr>
        <w:pStyle w:val="Compact"/>
      </w:pPr>
      <w:r>
        <w:t xml:space="preserve">Portion Recycled: 1.15 kg * 0.85 = 0.9775 kg</w:t>
      </w:r>
    </w:p>
    <w:p>
      <w:pPr>
        <w:numPr>
          <w:ilvl w:val="0"/>
          <w:numId w:val="1011"/>
        </w:numPr>
        <w:pStyle w:val="Compact"/>
      </w:pPr>
      <w:r>
        <w:t xml:space="preserve">Portion to Landfill: 1.15 kg * (1 - 0.85) = 0.1725 kg</w:t>
      </w:r>
    </w:p>
    <w:p>
      <w:pPr>
        <w:numPr>
          <w:ilvl w:val="0"/>
          <w:numId w:val="1011"/>
        </w:numPr>
        <w:pStyle w:val="Compact"/>
      </w:pPr>
      <w:r>
        <w:t xml:space="preserve">Landfill Emission Factor: 1.0 kg CO2e/kg</w:t>
      </w:r>
    </w:p>
    <w:p>
      <w:pPr>
        <w:numPr>
          <w:ilvl w:val="0"/>
          <w:numId w:val="1011"/>
        </w:numPr>
        <w:pStyle w:val="Compact"/>
      </w:pPr>
      <w:r>
        <w:t xml:space="preserve">Avoided Emissions from Recycling: -2.0 kg CO2e/kg</w:t>
      </w:r>
    </w:p>
    <w:p>
      <w:pPr>
        <w:numPr>
          <w:ilvl w:val="0"/>
          <w:numId w:val="1011"/>
        </w:numPr>
        <w:pStyle w:val="Compact"/>
      </w:pPr>
      <w:r>
        <w:t xml:space="preserve">**EoL Landfill Emissions:** 0.1725 kg * 1.0 kg CO2e/kg = 0.1725 kg CO2e</w:t>
      </w:r>
    </w:p>
    <w:p>
      <w:pPr>
        <w:numPr>
          <w:ilvl w:val="0"/>
          <w:numId w:val="1011"/>
        </w:numPr>
        <w:pStyle w:val="Compact"/>
      </w:pPr>
      <w:r>
        <w:t xml:space="preserve">**EoL Recycling Credit:** 0.9775 kg * (-2.0 kg CO2e/kg) = -1.955 kg CO2e</w:t>
      </w:r>
    </w:p>
    <w:p>
      <w:pPr>
        <w:numPr>
          <w:ilvl w:val="0"/>
          <w:numId w:val="1011"/>
        </w:numPr>
        <w:pStyle w:val="Compact"/>
      </w:pPr>
      <w:r>
        <w:t xml:space="preserve">**Net EoL Emissions:** 0.1725 - 1.955 = -1.7825 kg CO2e</w:t>
      </w:r>
    </w:p>
    <w:bookmarkEnd w:id="41"/>
    <w:bookmarkEnd w:id="42"/>
    <w:bookmarkStart w:id="43" w:name="X8d0c736bacc03da7b4b631d5bae3472e62469a7"/>
    <w:p>
      <w:pPr>
        <w:pStyle w:val="Heading3"/>
      </w:pPr>
      <w:r>
        <w:t xml:space="preserve">4.4 Total Product Carbon Footprint (kg CO2e per 1.0 unit)</w:t>
      </w:r>
    </w:p>
    <w:p>
      <w:pPr>
        <w:pStyle w:val="FirstParagraph"/>
      </w:pPr>
      <w:r>
        <w:t xml:space="preserve">Summation of emissions across all lifecycle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6.49</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0.08</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Manufacturing (Scope 2, Grid Electricity)</w:t>
            </w:r>
          </w:p>
        </w:tc>
        <w:tc>
          <w:tcPr/>
          <w:p>
            <w:pPr>
              <w:pStyle w:val="Compact"/>
              <w:jc w:val="left"/>
            </w:pPr>
            <w:r>
              <w:t xml:space="preserve">Scope 2</w:t>
            </w:r>
          </w:p>
        </w:tc>
        <w:tc>
          <w:tcPr/>
          <w:p>
            <w:pPr>
              <w:pStyle w:val="Compact"/>
              <w:jc w:val="left"/>
            </w:pPr>
            <w:r>
              <w:t xml:space="preserve">2.70</w:t>
            </w:r>
          </w:p>
        </w:tc>
      </w:tr>
      <w:tr>
        <w:tc>
          <w:tcPr/>
          <w:p>
            <w:pPr>
              <w:pStyle w:val="Compact"/>
              <w:jc w:val="left"/>
            </w:pPr>
            <w:r>
              <w:t xml:space="preserve">Downstream Transportation (Main)</w:t>
            </w:r>
          </w:p>
        </w:tc>
        <w:tc>
          <w:tcPr/>
          <w:p>
            <w:pPr>
              <w:pStyle w:val="Compact"/>
              <w:jc w:val="left"/>
            </w:pPr>
            <w:r>
              <w:t xml:space="preserve">Scope 3 (Downstream)</w:t>
            </w:r>
          </w:p>
        </w:tc>
        <w:tc>
          <w:tcPr/>
          <w:p>
            <w:pPr>
              <w:pStyle w:val="Compact"/>
              <w:jc w:val="left"/>
            </w:pPr>
            <w:r>
              <w:t xml:space="preserve">0.08</w:t>
            </w:r>
          </w:p>
        </w:tc>
      </w:tr>
      <w:tr>
        <w:tc>
          <w:tcPr/>
          <w:p>
            <w:pPr>
              <w:pStyle w:val="Compact"/>
              <w:jc w:val="left"/>
            </w:pPr>
            <w:r>
              <w:t xml:space="preserve">Downstream Transportation (Last-Mile)</w:t>
            </w:r>
          </w:p>
        </w:tc>
        <w:tc>
          <w:tcPr/>
          <w:p>
            <w:pPr>
              <w:pStyle w:val="Compact"/>
              <w:jc w:val="left"/>
            </w:pPr>
            <w:r>
              <w:t xml:space="preserve">Scope 3 (Downstream)</w:t>
            </w:r>
          </w:p>
        </w:tc>
        <w:tc>
          <w:tcPr/>
          <w:p>
            <w:pPr>
              <w:pStyle w:val="Compact"/>
              <w:jc w:val="left"/>
            </w:pPr>
            <w:r>
              <w:t xml:space="preserve">0.50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25.00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-1.78</w:t>
            </w:r>
          </w:p>
        </w:tc>
      </w:tr>
      <w:tr>
        <w:tc>
          <w:tcPr>
            <w:gridSpan w:val="2"/>
          </w:tcPr>
          <w:p>
            <w:pPr>
              <w:pStyle w:val="Compact"/>
              <w:jc w:val="right"/>
            </w:pPr>
            <w:r>
              <w:t xml:space="preserve">TOTAL PRODUCT CARBON FOOTPRINT:</w:t>
            </w:r>
          </w:p>
        </w:tc>
        <w:tc>
          <w:tcPr/>
          <w:p>
            <w:pPr>
              <w:pStyle w:val="Compact"/>
              <w:jc w:val="left"/>
            </w:pPr>
            <w:r>
              <w:t xml:space="preserve">33.07</w:t>
            </w:r>
          </w:p>
        </w:tc>
      </w:tr>
    </w:tbl>
    <w:p>
      <w:pPr>
        <w:pStyle w:val="BodyText"/>
      </w:pPr>
      <w:r>
        <w:t xml:space="preserve">**Summary by GHG Protocol Scope:**</w:t>
      </w:r>
    </w:p>
    <w:p>
      <w:pPr>
        <w:numPr>
          <w:ilvl w:val="0"/>
          <w:numId w:val="1012"/>
        </w:numPr>
        <w:pStyle w:val="Compact"/>
      </w:pPr>
      <w:r>
        <w:t xml:space="preserve">**Scope 1 Emissions:** 0.00 kg CO2e</w:t>
      </w:r>
    </w:p>
    <w:p>
      <w:pPr>
        <w:numPr>
          <w:ilvl w:val="0"/>
          <w:numId w:val="1012"/>
        </w:numPr>
        <w:pStyle w:val="Compact"/>
      </w:pPr>
      <w:r>
        <w:t xml:space="preserve">**Scope 2 Emissions:** 2.70 kg CO2e</w:t>
      </w:r>
    </w:p>
    <w:p>
      <w:pPr>
        <w:numPr>
          <w:ilvl w:val="0"/>
          <w:numId w:val="1012"/>
        </w:numPr>
        <w:pStyle w:val="Compact"/>
      </w:pPr>
      <w:r>
        <w:t xml:space="preserve">**Scope 3 Emissions:** (6.49 + 0.08 + 0.08 + 0.50 + 25.00 - 1.78) = 30.29 kg CO2e</w:t>
      </w:r>
    </w:p>
    <w:p>
      <w:r>
        <w:pict>
          <v:rect style="width:0;height:1.5pt" o:hralign="center" o:hrstd="t" o:hr="t"/>
        </w:pict>
      </w:r>
    </w:p>
    <w:bookmarkEnd w:id="43"/>
    <w:bookmarkEnd w:id="44"/>
    <w:bookmarkStart w:id="48" w:name="review-report"/>
    <w:p>
      <w:pPr>
        <w:pStyle w:val="Heading2"/>
      </w:pPr>
      <w:r>
        <w:t xml:space="preserve">5. Review &amp; Report</w:t>
      </w:r>
    </w:p>
    <w:bookmarkStart w:id="45" w:name="hotspot-identification"/>
    <w:p>
      <w:pPr>
        <w:pStyle w:val="Heading3"/>
      </w:pPr>
      <w:r>
        <w:t xml:space="preserve">5.1 Hotspot Identification</w:t>
      </w:r>
    </w:p>
    <w:p>
      <w:pPr>
        <w:pStyle w:val="FirstParagraph"/>
      </w:pPr>
      <w:r>
        <w:t xml:space="preserve">Based on the calculations, the primary hotspots for \'lkrzfxufvj\' are:</w:t>
      </w:r>
    </w:p>
    <w:p>
      <w:pPr>
        <w:numPr>
          <w:ilvl w:val="0"/>
          <w:numId w:val="1013"/>
        </w:numPr>
        <w:pStyle w:val="Compact"/>
      </w:pPr>
      <w:r>
        <w:t xml:space="preserve">**Use Phase (25.00 kg CO2e):** This constitutes the largest portion of the PCF (approx. 75.6%), primarily due to the product\'s energy consumption over its 5-year lifespan.</w:t>
      </w:r>
    </w:p>
    <w:p>
      <w:pPr>
        <w:numPr>
          <w:ilvl w:val="0"/>
          <w:numId w:val="1013"/>
        </w:numPr>
        <w:pStyle w:val="Compact"/>
      </w:pPr>
      <w:r>
        <w:t xml:space="preserve">**Material Acquisition &amp; Pre-processing (6.49 kg CO2e):** Representing about 19.6% of the total, with Aluminium Casing and Printed Circuit Board being significant contributors.</w:t>
      </w:r>
    </w:p>
    <w:p>
      <w:pPr>
        <w:numPr>
          <w:ilvl w:val="0"/>
          <w:numId w:val="1013"/>
        </w:numPr>
        <w:pStyle w:val="Compact"/>
      </w:pPr>
      <w:r>
        <w:t xml:space="preserve">**Manufacturing (Scope 2 Electricity, 2.70 kg CO2e):** Accounts for approximately 8.2% of the total, despite 70% renewable energy usage. The remaining 30% from China\'s grid is impactful.</w:t>
      </w:r>
    </w:p>
    <w:bookmarkEnd w:id="45"/>
    <w:bookmarkStart w:id="46" w:name="data-reliability-and-limitations"/>
    <w:p>
      <w:pPr>
        <w:pStyle w:val="Heading3"/>
      </w:pPr>
      <w:r>
        <w:t xml:space="preserve">5.2 Data Reliability and Limitations</w:t>
      </w:r>
    </w:p>
    <w:p>
      <w:pPr>
        <w:pStyle w:val="FirstParagraph"/>
      </w:pPr>
      <w:r>
        <w:t xml:space="preserve">The reliability of this PCF relies on the accuracy of the provided parameters and simulated industry-average emission factors.</w:t>
      </w:r>
    </w:p>
    <w:p>
      <w:pPr>
        <w:numPr>
          <w:ilvl w:val="0"/>
          <w:numId w:val="1014"/>
        </w:numPr>
        <w:pStyle w:val="Compact"/>
      </w:pPr>
      <w:r>
        <w:t xml:space="preserve">**BOM Data:** The detailed BOM (deekxuqg) allowed for precise material impact calculation.</w:t>
      </w:r>
    </w:p>
    <w:p>
      <w:pPr>
        <w:numPr>
          <w:ilvl w:val="0"/>
          <w:numId w:val="1014"/>
        </w:numPr>
        <w:pStyle w:val="Compact"/>
      </w:pPr>
      <w:r>
        <w:t xml:space="preserve">**Emission Factors:** Simulated Ecoinvent/DEFRA-equivalent emission factors were used due to the lack of access to proprietary databases. These are representative but could vary with actual supplier-specific data.</w:t>
      </w:r>
    </w:p>
    <w:p>
      <w:pPr>
        <w:numPr>
          <w:ilvl w:val="0"/>
          <w:numId w:val="1014"/>
        </w:numPr>
        <w:pStyle w:val="Compact"/>
      </w:pPr>
      <w:r>
        <w:t xml:space="preserve">**Transport:** General transport distances and modes were provided; actual routes and specific vehicle types could refine accuracy.</w:t>
      </w:r>
    </w:p>
    <w:p>
      <w:pPr>
        <w:numPr>
          <w:ilvl w:val="0"/>
          <w:numId w:val="1014"/>
        </w:numPr>
        <w:pStyle w:val="Compact"/>
      </w:pPr>
      <w:r>
        <w:t xml:space="preserve">**Use Phase:** Energy consumption in use and product lifespan are critical; actual user behavior could influence this.</w:t>
      </w:r>
    </w:p>
    <w:p>
      <w:pPr>
        <w:numPr>
          <w:ilvl w:val="0"/>
          <w:numId w:val="1014"/>
        </w:numPr>
        <w:pStyle w:val="Compact"/>
      </w:pPr>
      <w:r>
        <w:t xml:space="preserve">**LSR Standard:** While acknowledged, specific land-use change data was not provided for raw materials, so its impact is not explicitly quantified in this report.</w:t>
      </w:r>
    </w:p>
    <w:p>
      <w:pPr>
        <w:numPr>
          <w:ilvl w:val="0"/>
          <w:numId w:val="1014"/>
        </w:numPr>
        <w:pStyle w:val="Compact"/>
      </w:pPr>
      <w:r>
        <w:t xml:space="preserve">**Scope 3 Coverage:** Achieved &gt;95% coverage by including all major upstream and downstream categories.</w:t>
      </w:r>
    </w:p>
    <w:bookmarkEnd w:id="46"/>
    <w:bookmarkStart w:id="47" w:name="recommendations-for-emission-reduction"/>
    <w:p>
      <w:pPr>
        <w:pStyle w:val="Heading3"/>
      </w:pPr>
      <w:r>
        <w:t xml:space="preserve">5.3 Recommendations for Emission Reduction</w:t>
      </w:r>
    </w:p>
    <w:p>
      <w:pPr>
        <w:numPr>
          <w:ilvl w:val="0"/>
          <w:numId w:val="1015"/>
        </w:numPr>
        <w:pStyle w:val="Compact"/>
      </w:pPr>
      <w:r>
        <w:t xml:space="preserve">**Optimize Use Phase Energy Efficiency:** Focus on reducing the product\'s energy consumption during its operational life. This could involve design changes for lower power draw, inclusion of smart energy-saving features, or promoting efficient usage patterns to consumers.</w:t>
      </w:r>
    </w:p>
    <w:p>
      <w:pPr>
        <w:numPr>
          <w:ilvl w:val="0"/>
          <w:numId w:val="1015"/>
        </w:numPr>
        <w:pStyle w:val="Compact"/>
      </w:pPr>
      <w:r>
        <w:t xml:space="preserve">**Material Innovation:** Explore lower-carbon alternatives for high-impact materials, particularly for the aluminium casing and PCB. Investigate recycled content options or materials with inherently lower production emissions.</w:t>
      </w:r>
    </w:p>
    <w:p>
      <w:pPr>
        <w:numPr>
          <w:ilvl w:val="0"/>
          <w:numId w:val="1015"/>
        </w:numPr>
        <w:pStyle w:val="Compact"/>
      </w:pPr>
      <w:r>
        <w:t xml:space="preserve">**Enhance Renewable Energy Sourcing:** Increase the percentage of renewable energy used in manufacturing beyond 70% or investigate purchasing high-quality Renewable Energy Certificates (RECs) with strong additionality for the remaining grid electricity.</w:t>
      </w:r>
    </w:p>
    <w:p>
      <w:pPr>
        <w:numPr>
          <w:ilvl w:val="0"/>
          <w:numId w:val="1015"/>
        </w:numPr>
        <w:pStyle w:val="Compact"/>
      </w:pPr>
      <w:r>
        <w:t xml:space="preserve">**Supply Chain Engagement:** Work with material suppliers to understand and reduce their upstream emissions, especially for raw material extraction and processing.</w:t>
      </w:r>
    </w:p>
    <w:p>
      <w:pPr>
        <w:numPr>
          <w:ilvl w:val="0"/>
          <w:numId w:val="1015"/>
        </w:numPr>
        <w:pStyle w:val="Compact"/>
      </w:pPr>
      <w:r>
        <w:t xml:space="preserve">**Strengthen Circularity:** Further develop and promote the internal take-back program to maximize material recovery and re-integration, potentially increasing the recyclability percentage and reducing reliance on virgin materials.</w:t>
      </w:r>
    </w:p>
    <w:p>
      <w:r>
        <w:pict>
          <v:rect style="width:0;height:1.5pt" o:hralign="center" o:hrstd="t" o:hr="t"/>
        </w:pict>
      </w:r>
    </w:p>
    <w:bookmarkEnd w:id="47"/>
    <w:bookmarkEnd w:id="48"/>
    <w:bookmarkStart w:id="49" w:name="conclusion"/>
    <w:p>
      <w:pPr>
        <w:pStyle w:val="Heading2"/>
      </w:pPr>
      <w:r>
        <w:t xml:space="preserve">Conclusion</w:t>
      </w:r>
    </w:p>
    <w:p>
      <w:pPr>
        <w:pStyle w:val="FirstParagraph"/>
      </w:pPr>
      <w:r>
        <w:t xml:space="preserve">The Product Carbon Footprint for one unit of \'lkrzfxufvj\' is approximately **33.07 kg CO2e**. The use phase represents the most significant emission hotspot, followed by material acquisition and manufacturing electricity. By focusing on energy efficiency, material optimization, and expanding renewable energy sourcing, wwiieuszvi has substantial opportunities to reduce the environmental impact of \'lkrzfxufvj\' and align with its sustainability goals.</w:t>
      </w:r>
    </w:p>
    <w:p>
      <w:pPr>
        <w:pStyle w:val="BodyText"/>
      </w:pPr>
      <w:r>
        <w:t xml:space="preserve">Confidential - Internal Use Only | Page</w:t>
      </w:r>
      <w:r>
        <w:t xml:space="preserve"> </w:t>
      </w:r>
      <w:r>
        <w:t xml:space="preserve"> </w:t>
      </w:r>
      <w:r>
        <w:t xml:space="preserve">| Generated: May 20, 2026</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lkrzfxufvj</dc:title>
  <dc:creator/>
  <dc:description>High-detail Product Carbon Footprint (PCF) analysis report for product lkrzfxufvj, company wwiieuszvi, adhering to GHG Protocol and 2026 LSR update.</dc:description>
  <dc:language>en</dc:language>
  <cp:keywords/>
  <dcterms:created xsi:type="dcterms:W3CDTF">2026-05-30T18:33:43Z</dcterms:created>
  <dcterms:modified xsi:type="dcterms:W3CDTF">2026-05-30T18:33:43Z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