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ljzyuhvnhi</w:t>
      </w:r>
    </w:p>
    <w:p>
      <w:pPr>
        <w:pStyle w:val="FirstParagraph"/>
      </w:pPr>
      <w:r>
        <w:t xml:space="preserve">carboncalcpcf.com</w:t>
      </w:r>
    </w:p>
    <w:bookmarkStart w:id="20" w:name="product-carbon-footprint-report"/>
    <w:p>
      <w:pPr>
        <w:pStyle w:val="Heading1"/>
      </w:pPr>
      <w:r>
        <w:t xml:space="preserve">Product Carbon Footprint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ljzyuhvnhi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qndxryrovg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swkvpknjzi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accuracy is dependent on the completeness and quality of the input data provided.</w:t>
      </w:r>
    </w:p>
    <w:bookmarkEnd w:id="20"/>
    <w:p>
      <w:pPr>
        <w:pStyle w:val="BodyText"/>
      </w:pPr>
      <w:r>
        <w:t xml:space="preserve">Generated Date: May 18, 2026</w:t>
      </w:r>
    </w:p>
    <w:bookmarkStart w:id="37" w:name="Xb3f355cec893179a5833b775f505ecd5fc7ac13"/>
    <w:p>
      <w:pPr>
        <w:pStyle w:val="Heading1"/>
      </w:pPr>
      <w:r>
        <w:t xml:space="preserve">Product Carbon Footprint Analysis: ljzyuhvnhi</w:t>
      </w:r>
    </w:p>
    <w:p>
      <w:pPr>
        <w:pStyle w:val="FirstParagraph"/>
      </w:pPr>
      <w:r>
        <w:t xml:space="preserve">This report details the Product Carbon Footprint (PCF) for \'ljzyuhvnhi\', conducted by Senior Sustainability Consultant swkvpknjzi for qndxryrovg. The analysis strictly adheres to the Greenhouse Gas (GHG) Protocol, with a focus on comprehensive Scope 3 reporting and integration of the 2026 Land Sector and Removals (LSR) Standard.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analysis provides a high-detail Product Carbon Footprint for \'ljzyuhvnhi\', quantifying greenhouse gas emissions across its lifecycle from raw material acquisition to end-of-life. Utilizing specific data for materials, logistics, production energy, use-phase, and end-of-life scenarios, the report identifies key emission hotspots and offers insights for reduction. The total carbon footprint of \'ljzyuhvnhi\' is calculated to be [Calculated Total PCF Here] kg CO2e per functional unit of 1.0 unit.</w:t>
      </w:r>
    </w:p>
    <w:p>
      <w:r>
        <w:pict>
          <v:rect style="width:0;height:1.5pt" o:hralign="center" o:hrstd="t" o:hr="t"/>
        </w:pict>
      </w:r>
    </w:p>
    <w:bookmarkEnd w:id="21"/>
    <w:bookmarkStart w:id="22" w:name="defining-the-scope"/>
    <w:p>
      <w:pPr>
        <w:pStyle w:val="Heading2"/>
      </w:pPr>
      <w:r>
        <w:t xml:space="preserve">1. Defining the Scope</w:t>
      </w:r>
    </w:p>
    <w:p>
      <w:pPr>
        <w:pStyle w:val="FirstParagraph"/>
      </w:pPr>
      <w:r>
        <w:t xml:space="preserve">The initial phase of the PCF analysis for \'ljzyuhvnhi\' establishes the foundational parameters for accurate and consistent measurement.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declared unit for this assessment is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 \'ljzyuhvnhi\'. All emissions are normalized to this functional unit.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A</w:t>
      </w:r>
      <w:r>
        <w:t xml:space="preserve"> </w:t>
      </w:r>
      <w:r>
        <w:rPr>
          <w:bCs/>
          <w:b/>
        </w:rPr>
        <w:t xml:space="preserve">"factory_gate"</w:t>
      </w:r>
      <w:r>
        <w:t xml:space="preserve"> </w:t>
      </w:r>
      <w:r>
        <w:t xml:space="preserve">system boundary has been applied. This encompasses raw material extraction, component manufacturing, transportation to the final production facility, and the production processes at the factory gate. For a comprehensive lifecycle perspective, the analysis extends beyond this gate to include downstream transportation, the use phase, and end-of-life.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The final production country is</w:t>
      </w:r>
      <w:r>
        <w:t xml:space="preserve"> </w:t>
      </w:r>
      <w:r>
        <w:rPr>
          <w:bCs/>
          <w:b/>
        </w:rPr>
        <w:t xml:space="preserve">China</w:t>
      </w:r>
      <w:r>
        <w:t xml:space="preserve">. The supply chain focus is explicitly</w:t>
      </w:r>
      <w:r>
        <w:t xml:space="preserve"> </w:t>
      </w:r>
      <w:r>
        <w:rPr>
          <w:bCs/>
          <w:b/>
        </w:rPr>
        <w:t xml:space="preserve">Europe Focused</w:t>
      </w:r>
      <w:r>
        <w:t xml:space="preserve">, indicating that upstream impacts related to material sourcing and initial processing are primarily considered within a European context where applicable, before transport to China for final assembly.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The methodology rigorously follows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, categorizing emissions into Scope 1, Scope 2, and Scope 3 to provide a clear understanding of direct and value chain impacts.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Where co-products or recycling scenarios are present, economic allocation methods have been applied to distribute environmental burdens fairly.</w:t>
      </w:r>
    </w:p>
    <w:p>
      <w:r>
        <w:pict>
          <v:rect style="width:0;height:1.5pt" o:hralign="center" o:hrstd="t" o:hr="t"/>
        </w:pict>
      </w:r>
    </w:p>
    <w:bookmarkEnd w:id="22"/>
    <w:bookmarkStart w:id="28" w:name="X6e2793ee4fc01441418c201f3b9b8c363590e6c"/>
    <w:p>
      <w:pPr>
        <w:pStyle w:val="Heading2"/>
      </w:pPr>
      <w:r>
        <w:t xml:space="preserve">2. Mapping the Lifecycle (LCI Inventory Stages) &amp; 3. Data Collection</w:t>
      </w:r>
    </w:p>
    <w:p>
      <w:pPr>
        <w:pStyle w:val="FirstParagraph"/>
      </w:pPr>
      <w:r>
        <w:t xml:space="preserve">This section details the lifecycle stages and the data collected for the \'ljzyuhvnhi\' product. For this report, industry-standard emission factors from reputable databases (e.g., Ecoinvent, DEFRA) are applied. The provided Bill of Materials (BOM) \'irdlmyte\' and specific operational parameters are crucial for this high-detail analysis.</w:t>
      </w:r>
    </w:p>
    <w:bookmarkStart w:id="23" w:name="Xdf8e7b716fb3e1cf91b30988e5a2cb7f1217a60"/>
    <w:p>
      <w:pPr>
        <w:pStyle w:val="Heading3"/>
      </w:pPr>
      <w:r>
        <w:t xml:space="preserve">Detailed Bill of Materials (BOM) - \'irdlmyte\'</w:t>
      </w:r>
    </w:p>
    <w:p>
      <w:pPr>
        <w:pStyle w:val="FirstParagraph"/>
      </w:pPr>
      <w:r>
        <w:t xml:space="preserve">The following table presents a detailed breakdown of materials, their quantities, and associated carbon emissions based on the provided \'irdlmyte\' data. Note: The "Emission Factor" and "Total Carbon" values are illustrative examples to demonstrate the calculation, as specific data for \'irdlmyte\' was not provided in a machine-readable format. In a real-world scenario, precise factors for each material and process would be utilized.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PCB 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Wire 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Silicon Chipset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Semiconductor Mfg.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 &amp; Paper Mfg.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Adhesives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Chemicals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Chemical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</w:tr>
    </w:tbl>
    <w:p>
      <w:pPr>
        <w:pStyle w:val="BodyText"/>
      </w:pPr>
      <w:r>
        <w:rPr>
          <w:iCs/>
          <w:i/>
        </w:rPr>
        <w:t xml:space="preserve">Total Upstream Material Emissions (Illustrative): 6.98 kg CO2e</w:t>
      </w:r>
    </w:p>
    <w:bookmarkEnd w:id="23"/>
    <w:bookmarkStart w:id="24" w:name="energy-inputs-for-production"/>
    <w:p>
      <w:pPr>
        <w:pStyle w:val="Heading3"/>
      </w:pPr>
      <w:r>
        <w:t xml:space="preserve">Energy Inputs for Production</w:t>
      </w:r>
    </w:p>
    <w:p>
      <w:pPr>
        <w:pStyle w:val="FirstParagraph"/>
      </w:pPr>
      <w:r>
        <w:t xml:space="preserve">The energy consumed during the production phase at the final assembly facility in China is a significant contributor to the carbon footprint.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mpvimoxpow kWh/unit. (e.g., assuming 5.0 kWh/unit for calculation purposes)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izlomutupt. (e.g., assuming 40% renewable energy for calculation purposes)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Grid Emission Factor (Illustrative):</w:t>
      </w:r>
      <w:r>
        <w:t xml:space="preserve"> </w:t>
      </w:r>
      <w:r>
        <w:t xml:space="preserve">0.7 kg CO2e/kWh (average for China, actual factor would be source-specific).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Emission Factor:</w:t>
      </w:r>
      <w:r>
        <w:t xml:space="preserve"> </w:t>
      </w:r>
      <w:r>
        <w:t xml:space="preserve">0.05 kg CO2e/kWh (for non-biogenic renewables, reflecting residual emissions).</w:t>
      </w:r>
    </w:p>
    <w:p>
      <w:pPr>
        <w:pStyle w:val="FirstParagraph"/>
      </w:pPr>
      <w:r>
        <w:t xml:space="preserve">Calculation for Production Energy:</w:t>
      </w:r>
      <w:r>
        <w:t xml:space="preserve"> </w:t>
      </w:r>
      <w:r>
        <w:t xml:space="preserve">* Non-renewable electricity: mpvimoxpow * (1 - izlomutupt) * Grid Emission Factor</w:t>
      </w:r>
      <w:r>
        <w:t xml:space="preserve"> </w:t>
      </w:r>
      <w:r>
        <w:t xml:space="preserve">* Renewable electricity: mpvimoxpow * izlomutupt * Renewable Energy Emission Factor</w:t>
      </w:r>
    </w:p>
    <w:p>
      <w:pPr>
        <w:pStyle w:val="BodyText"/>
      </w:pPr>
      <w:r>
        <w:rPr>
          <w:iCs/>
          <w:i/>
        </w:rPr>
        <w:t xml:space="preserve">Illustrative Production Energy Emissions (Scope 2): (5.0 kWh * (1 - 0.40) * 0.7 kg CO2e/kWh) + (5.0 kWh * 0.40 * 0.05 kg CO2e/kWh) = 2.1 kg CO2e + 0.1 kg CO2e = 2.20 kg CO2e</w:t>
      </w:r>
    </w:p>
    <w:bookmarkEnd w:id="24"/>
    <w:bookmarkStart w:id="25" w:name="logistics-data"/>
    <w:p>
      <w:pPr>
        <w:pStyle w:val="Heading3"/>
      </w:pPr>
      <w:r>
        <w:t xml:space="preserve">Logistics Data</w:t>
      </w:r>
    </w:p>
    <w:p>
      <w:pPr>
        <w:pStyle w:val="FirstParagraph"/>
      </w:pPr>
      <w:r>
        <w:t xml:space="preserve">Transportation plays a critical role in the product\'s overall footprint, covering both upstream (raw materials to factory) and downstream (factory to customer) movements.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Upstream Transport Mode:</w:t>
      </w:r>
      <w:r>
        <w:t xml:space="preserve"> </w:t>
      </w:r>
      <w:r>
        <w:t xml:space="preserve">Select Mode (e.g., assuming ocean freight for bulk materials from Europe to China, followed by truck).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Upstream Transport Distance:</w:t>
      </w:r>
      <w:r>
        <w:t xml:space="preserve"> </w:t>
      </w:r>
      <w:r>
        <w:t xml:space="preserve">yumliunixl km (e.g., assuming 15,000 km ocean, 500 km truck).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Downstream Last-Mile Delivery Channel:</w:t>
      </w:r>
      <w:r>
        <w:t xml:space="preserve"> </w:t>
      </w:r>
      <w:r>
        <w:t xml:space="preserve">Delivery Type (e.g., assuming parcel delivery by van/truck within Europe).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Downstream Transport Distance:</w:t>
      </w:r>
      <w:r>
        <w:t xml:space="preserve"> </w:t>
      </w:r>
      <w:r>
        <w:t xml:space="preserve">yumliunixl km (e.g., assuming 1,000 km for distribution and last mile in Europe).</w:t>
      </w:r>
    </w:p>
    <w:p>
      <w:pPr>
        <w:pStyle w:val="FirstParagraph"/>
      </w:pPr>
      <w:r>
        <w:t xml:space="preserve">Illustrative Emission Factors for Transport:</w:t>
      </w:r>
      <w:r>
        <w:t xml:space="preserve"> </w:t>
      </w:r>
      <w:r>
        <w:t xml:space="preserve">* Ocean Freight: 0.01 kg CO2e/tkm</w:t>
      </w:r>
      <w:r>
        <w:t xml:space="preserve"> </w:t>
      </w:r>
      <w:r>
        <w:t xml:space="preserve">* Heavy Goods Vehicle (HGV): 0.1 kg CO2e/tkm</w:t>
      </w:r>
      <w:r>
        <w:t xml:space="preserve"> </w:t>
      </w:r>
      <w:r>
        <w:t xml:space="preserve">* Parcel Van: 0.2 kg CO2e/tkm (considering less than full load, smaller vehicle)</w:t>
      </w:r>
    </w:p>
    <w:p>
      <w:pPr>
        <w:pStyle w:val="BodyText"/>
      </w:pPr>
      <w:r>
        <w:t xml:space="preserve">Assuming average product weight of 1 kg (for simplification, based on BOM material quantities).</w:t>
      </w:r>
    </w:p>
    <w:p>
      <w:pPr>
        <w:pStyle w:val="BodyText"/>
      </w:pPr>
      <w:r>
        <w:rPr>
          <w:iCs/>
          <w:i/>
        </w:rPr>
        <w:t xml:space="preserve">Illustrative Upstream Transport Emissions (Scope 3, Category 4): (15,000 km * 1 kg * 0.01 kg CO2e/tkm) + (500 km * 1 kg * 0.1 kg CO2e/tkm) = 1.5 kg CO2e + 0.05 kg CO2e = 1.55 kg CO2e</w:t>
      </w:r>
    </w:p>
    <w:p>
      <w:pPr>
        <w:pStyle w:val="BodyText"/>
      </w:pPr>
      <w:r>
        <w:rPr>
          <w:iCs/>
          <w:i/>
        </w:rPr>
        <w:t xml:space="preserve">Illustrative Downstream Transport Emissions (Scope 3, Category 9): (1,000 km * 1 kg * 0.2 kg CO2e/tkm) = 0.20 kg CO2e</w:t>
      </w:r>
    </w:p>
    <w:bookmarkEnd w:id="25"/>
    <w:bookmarkStart w:id="26" w:name="use-phase-data"/>
    <w:p>
      <w:pPr>
        <w:pStyle w:val="Heading3"/>
      </w:pPr>
      <w:r>
        <w:t xml:space="preserve">Use Phase Data</w:t>
      </w:r>
    </w:p>
    <w:p>
      <w:pPr>
        <w:pStyle w:val="FirstParagraph"/>
      </w:pPr>
      <w:r>
        <w:t xml:space="preserve">The emissions during the product\'s operational life.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vnoprmrgww (e.g., assuming 5 years).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vsqsoewktu kWh/year (e.g., assuming 10 kWh/year).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 Phase Grid Emission Factor (Illustrative, Europe):</w:t>
      </w:r>
      <w:r>
        <w:t xml:space="preserve"> </w:t>
      </w:r>
      <w:r>
        <w:t xml:space="preserve">0.25 kg CO2e/kWh (assuming average European grid mix).</w:t>
      </w:r>
    </w:p>
    <w:p>
      <w:pPr>
        <w:pStyle w:val="FirstParagraph"/>
      </w:pPr>
      <w:r>
        <w:rPr>
          <w:iCs/>
          <w:i/>
        </w:rPr>
        <w:t xml:space="preserve">Illustrative Use Phase Emissions (Scope 3, Category 11): (vsqsoewktu kWh/year * vnoprmrgww years) * Use Phase Grid Emission Factor = (10 kWh/year * 5 years) * 0.25 kg CO2e/kWh = 12.50 kg CO2e</w:t>
      </w:r>
    </w:p>
    <w:bookmarkEnd w:id="26"/>
    <w:bookmarkStart w:id="27" w:name="end-of-life-eol-scenarios"/>
    <w:p>
      <w:pPr>
        <w:pStyle w:val="Heading3"/>
      </w:pPr>
      <w:r>
        <w:t xml:space="preserve">End-of-Life (EoL) Scenarios</w:t>
      </w:r>
    </w:p>
    <w:p>
      <w:pPr>
        <w:pStyle w:val="FirstParagraph"/>
      </w:pPr>
      <w:r>
        <w:t xml:space="preserve">Emissions and potential avoided emissions at the end of the product\'s useful life.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jgxqyqqqkv (e.g., assuming 70%).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dwqdnghvrw (e.g., Company-operated take-back program in place).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Avoided Emissions through Recycling (Illustrative):</w:t>
      </w:r>
      <w:r>
        <w:t xml:space="preserve"> </w:t>
      </w:r>
      <w:r>
        <w:t xml:space="preserve">Recycled materials offset virgin material production. A common approach is to apply a credit for the recycled content. For this illustration, we assume avoided emissions for the recyclable portion of the product.</w:t>
      </w:r>
      <w:r>
        <w:t xml:space="preserve"> </w:t>
      </w:r>
      <w:r>
        <w:t xml:space="preserve">* Illustrative EoL burden for non-recycled waste: 0.5 kg CO2e/kg (for landfill/incineration).</w:t>
      </w:r>
      <w:r>
        <w:t xml:space="preserve"> </w:t>
      </w:r>
      <w:r>
        <w:t xml:space="preserve">* Illustrative avoided emissions credit for recycled materials: -2.0 kg CO2e/kg (for metals, plastics).</w:t>
      </w:r>
    </w:p>
    <w:p>
      <w:pPr>
        <w:pStyle w:val="FirstParagraph"/>
      </w:pPr>
      <w:r>
        <w:t xml:space="preserve">Assuming total product weight of 1 kg.</w:t>
      </w:r>
    </w:p>
    <w:p>
      <w:pPr>
        <w:pStyle w:val="BodyText"/>
      </w:pPr>
      <w:r>
        <w:rPr>
          <w:iCs/>
          <w:i/>
        </w:rPr>
        <w:t xml:space="preserve">Illustrative End-of-Life Emissions/Credits (Scope 3, Category 12):</w:t>
      </w:r>
    </w:p>
    <w:p>
      <w:pPr>
        <w:numPr>
          <w:ilvl w:val="0"/>
          <w:numId w:val="1006"/>
        </w:numPr>
        <w:pStyle w:val="Compact"/>
      </w:pPr>
      <w:r>
        <w:t xml:space="preserve">Non-recycled portion (1 - jgxqyqqqkv): 1 kg * (1 - 0.70) * 0.5 kg CO2e/kg = 0.15 kg CO2e</w:t>
      </w:r>
    </w:p>
    <w:p>
      <w:pPr>
        <w:numPr>
          <w:ilvl w:val="0"/>
          <w:numId w:val="1006"/>
        </w:numPr>
        <w:pStyle w:val="Compact"/>
      </w:pPr>
      <w:r>
        <w:t xml:space="preserve">Recycled portion (jgxqyqqqkv): 1 kg * 0.70 * (-2.0 kg CO2e/kg) = -1.40 kg CO2e (credit)</w:t>
      </w:r>
    </w:p>
    <w:p>
      <w:pPr>
        <w:pStyle w:val="FirstParagraph"/>
      </w:pPr>
      <w:r>
        <w:rPr>
          <w:iCs/>
          <w:i/>
        </w:rPr>
        <w:t xml:space="preserve">Net Illustrative End-of-Life Emissions: 0.15 kg CO2e - 1.40 kg CO2e = -1.25 kg CO2e (net credit)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2" w:name="X3720d7d0541b3a6e3c473bd4daa188ddb828856"/>
    <w:p>
      <w:pPr>
        <w:pStyle w:val="Heading2"/>
      </w:pPr>
      <w:r>
        <w:t xml:space="preserve">4. Calculating Emissions (Activity * Emission Factor = CO2e)</w:t>
      </w:r>
    </w:p>
    <w:p>
      <w:pPr>
        <w:pStyle w:val="FirstParagraph"/>
      </w:pPr>
      <w:r>
        <w:t xml:space="preserve">Emissions are calculated for each lifecycle stage, categorized according to the GHG Protocol.</w:t>
      </w:r>
    </w:p>
    <w:bookmarkStart w:id="29" w:name="X89712ad2f96f1545c787068fc4ef6a440b6ce2b"/>
    <w:p>
      <w:pPr>
        <w:pStyle w:val="Heading3"/>
      </w:pPr>
      <w:r>
        <w:t xml:space="preserve">Summary of Calculated Emissions (Illustrative)</w:t>
      </w:r>
    </w:p>
    <w:p>
      <w:pPr>
        <w:pStyle w:val="FirstParagraph"/>
      </w:pPr>
      <w:r>
        <w:t xml:space="preserve">Based on the illustrative data and emission factors used above, the PCF for \'ljzyuhvnhi\' is estimated as follows: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Illustrative 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 (e.g., on-site fuel combustion)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 (Assumed negligible/not applicable for this product boundary for illustration)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(Production)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2.20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Raw Material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1: Purchased Goods &amp; Services (from BOM)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6.98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Upstream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4: Upstream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1.55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Downstream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9: Downstream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11: 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12: 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-1.25 (Net Credit)</w:t>
            </w:r>
          </w:p>
        </w:tc>
      </w:tr>
    </w:tbl>
    <w:bookmarkEnd w:id="29"/>
    <w:bookmarkStart w:id="30" w:name="X8dd75ba17c0404e782674026cc016b1fb5aad93"/>
    <w:p>
      <w:pPr>
        <w:pStyle w:val="Heading3"/>
      </w:pPr>
      <w:r>
        <w:t xml:space="preserve">Total Illustrative Product Carbon Footprint: 22.18 kg CO2e</w:t>
      </w:r>
    </w:p>
    <w:p>
      <w:pPr>
        <w:pStyle w:val="FirstParagraph"/>
      </w:pPr>
      <w:r>
        <w:t xml:space="preserve">(Sum of all illustrative emissions: 0.00 + 2.20 + 6.98 + 1.55 + 0.20 + 12.50 - 1.25 = 22.18 kg CO2e)</w:t>
      </w:r>
    </w:p>
    <w:bookmarkEnd w:id="30"/>
    <w:bookmarkStart w:id="31" w:name="X659839d91fd99b9c1312e5baaf931415fce1a8c"/>
    <w:p>
      <w:pPr>
        <w:pStyle w:val="Heading3"/>
      </w:pPr>
      <w:r>
        <w:t xml:space="preserve">Adherence to GHG Protocol &amp; 2026 LSR Update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GHG Protocol Categorization:</w:t>
      </w:r>
      <w:r>
        <w:t xml:space="preserve"> </w:t>
      </w:r>
      <w:r>
        <w:t xml:space="preserve">Emissions have been categorized into Scope 1, Scope 2, and Scope 3 as per GHG Protocol standards. Scope 1 is assumed to be negligible for this product within the \'factory_gate\' boundary focus, but would include direct process emissions or company vehicle emissions if applicable.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Land Sector and Removals (LSR) Standard emphasizes the reporting of land-use change and carbon removals. While specific data for land use change associated with raw material extraction (e.g., deforestation for specific timber products) or bio-based carbon removals within \'ljzyuhvnhi\' are not explicitly provided in the parameters, the framework for their inclusion is noted. In a comprehensive analysis, direct land-use impacts and any biogenic carbon sequestration/emissions from materials would be calculated and reported under relevant Scope 3 categories, aligned with the LSR.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This analysis aims for at least 95% coverage for Scope 3 reporting, as per 2026 requirements. The detailed breakdown across purchased goods, transportation, use phase, and end-of-life reflects a robust effort to achieve this comprehensive coverage.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6" w:name="review-report"/>
    <w:p>
      <w:pPr>
        <w:pStyle w:val="Heading2"/>
      </w:pPr>
      <w:r>
        <w:t xml:space="preserve">5. Review &amp; Report</w:t>
      </w:r>
    </w:p>
    <w:p>
      <w:pPr>
        <w:pStyle w:val="FirstParagraph"/>
      </w:pPr>
      <w:r>
        <w:t xml:space="preserve">This final stage synthesizes the findings, highlighting emission hotspots and commenting on the reliability of the assessment.</w:t>
      </w:r>
    </w:p>
    <w:bookmarkStart w:id="33" w:name="key-emission-hotspots-illustrative"/>
    <w:p>
      <w:pPr>
        <w:pStyle w:val="Heading3"/>
      </w:pPr>
      <w:r>
        <w:t xml:space="preserve">Key Emission Hotspots (Illustrative)</w:t>
      </w:r>
    </w:p>
    <w:p>
      <w:pPr>
        <w:pStyle w:val="FirstParagraph"/>
      </w:pPr>
      <w:r>
        <w:t xml:space="preserve">Based on the illustrative calculations, the primary contributors to the carbon footprint of \'ljzyuhvnhi\' are: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Use Phase (Scope 3, Category 11):</w:t>
      </w:r>
      <w:r>
        <w:t xml:space="preserve"> </w:t>
      </w:r>
      <w:r>
        <w:t xml:space="preserve">At 12.50 kg CO2e, the energy consumption during the product\'s lifespan is the most significant hotspot. This indicates a high dependency on grid electricity during usage.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Raw Material Acquisition &amp; Processing (Scope 3, Category 1):</w:t>
      </w:r>
      <w:r>
        <w:t xml:space="preserve"> </w:t>
      </w:r>
      <w:r>
        <w:t xml:space="preserve">Materials account for 6.98 kg CO2e, driven by components like aluminum and silicon.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Purchased Electricity for Production (Scope 2):</w:t>
      </w:r>
      <w:r>
        <w:t xml:space="preserve"> </w:t>
      </w:r>
      <w:r>
        <w:t xml:space="preserve">Despite 40% renewable energy usage, the remaining grid electricity contributes 2.20 kg CO2e.</w:t>
      </w:r>
    </w:p>
    <w:bookmarkEnd w:id="33"/>
    <w:bookmarkStart w:id="34" w:name="reliability-and-limitations"/>
    <w:p>
      <w:pPr>
        <w:pStyle w:val="Heading3"/>
      </w:pPr>
      <w:r>
        <w:t xml:space="preserve">Reliability and Limitations</w:t>
      </w:r>
    </w:p>
    <w:p>
      <w:pPr>
        <w:pStyle w:val="FirstParagraph"/>
      </w:pPr>
      <w:r>
        <w:t xml:space="preserve">The reliability of this PCF report is highly dependent on the accuracy and completeness of the input data.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Quality:</w:t>
      </w:r>
      <w:r>
        <w:t xml:space="preserve"> </w:t>
      </w:r>
      <w:r>
        <w:t xml:space="preserve">While the methodology leverages industry-standard emission factors, the illustrative nature of some specific data points (e.g., detailed BOM emission factors, precise transport distances, energy intensities) means the absolute values presented here are indicative. For a definitive report, primary data directly from suppliers and operations would be paramount.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Scope 3 Coverage:</w:t>
      </w:r>
      <w:r>
        <w:t xml:space="preserve"> </w:t>
      </w:r>
      <w:r>
        <w:t xml:space="preserve">The commitment to 95% Scope 3 coverage enhances the comprehensiveness of the report, though certain minor categories may still be estimated.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Boundary Conditions:</w:t>
      </w:r>
      <w:r>
        <w:t xml:space="preserve"> </w:t>
      </w:r>
      <w:r>
        <w:t xml:space="preserve">The "factory_gate" system boundary for the core product definition, expanded for downstream impacts, provides a robust cradle-to-grave perspective for \'ljzyuhvnhi\'.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LSR Standard Integration:</w:t>
      </w:r>
      <w:r>
        <w:t xml:space="preserve"> </w:t>
      </w:r>
      <w:r>
        <w:t xml:space="preserve">While conceptually included, precise quantification of land-use change emissions and removals would require specific data on the origins and management practices of bio-based materials (if any) and land use for infrastructure.</w:t>
      </w:r>
    </w:p>
    <w:bookmarkEnd w:id="34"/>
    <w:bookmarkStart w:id="35" w:name="recommendations-for-carbon-reduction"/>
    <w:p>
      <w:pPr>
        <w:pStyle w:val="Heading3"/>
      </w:pPr>
      <w:r>
        <w:t xml:space="preserve">Recommendations for Carbon Reduction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Optimize Use Phase Efficiency:</w:t>
      </w:r>
      <w:r>
        <w:t xml:space="preserve"> </w:t>
      </w:r>
      <w:r>
        <w:t xml:space="preserve">Focus on designing \'ljzyuhvnhi\' for lower energy consumption during its operational life (e.g., more efficient components, standby modes). Educating consumers on energy-efficient use is also vital.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Explore alternative, lower-carbon materials for high-impact components like aluminum and silicon. Investigate recycled content options with verified environmental product declarations.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Increase Renewable Energy in Production:</w:t>
      </w:r>
      <w:r>
        <w:t xml:space="preserve"> </w:t>
      </w:r>
      <w:r>
        <w:t xml:space="preserve">Further increase the percentage of renewable energy used at the production facility in China (beyond izlomutupt) to significantly reduce Scope 2 emissions.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Leverage the existing circular/take-back programs (dwqdnghvrw) to maximize recycling rates (jgxqyqqqkv) and explore opportunities for repair, refurbishment, or remanufacturing to extend product lifespan and further reduce virgin material demand.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 1 of 1 (Dynamic Page Numbering for Print)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ljzyuhvnhi</dc:title>
  <dc:creator/>
  <dc:description>Detailed Product Carbon Footprint (PCF) analysis report for ljzyuhvnhi, performed by Senior Sustainability Consultant swkvpknjzi for qndxryrovg, adhering to GHG Protocol standards and 2026 LSR updates.</dc:description>
  <dc:language>en</dc:language>
  <cp:keywords/>
  <dcterms:created xsi:type="dcterms:W3CDTF">2026-05-30T23:09:23Z</dcterms:created>
  <dcterms:modified xsi:type="dcterms:W3CDTF">2026-05-30T23:09:23Z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