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liztsosgrs</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liztsosgrs"/>
    <w:p>
      <w:pPr>
        <w:pStyle w:val="Heading2"/>
      </w:pPr>
      <w:r>
        <w:t xml:space="preserve">Product: liztsosgrs</w:t>
      </w:r>
    </w:p>
    <w:p>
      <w:pPr>
        <w:pStyle w:val="FirstParagraph"/>
      </w:pPr>
      <w:r>
        <w:rPr>
          <w:bCs/>
          <w:b/>
        </w:rPr>
        <w:t xml:space="preserve">Company Name:</w:t>
      </w:r>
      <w:r>
        <w:t xml:space="preserve"> </w:t>
      </w:r>
      <w:r>
        <w:t xml:space="preserve">ygforxivpj</w:t>
      </w:r>
    </w:p>
    <w:p>
      <w:pPr>
        <w:pStyle w:val="BodyText"/>
      </w:pPr>
      <w:r>
        <w:rPr>
          <w:bCs/>
          <w:b/>
        </w:rPr>
        <w:t xml:space="preserve">Senior Sustainability Consultant:</w:t>
      </w:r>
      <w:r>
        <w:t xml:space="preserve"> </w:t>
      </w:r>
      <w:r>
        <w:t xml:space="preserve">qkirzvgiim</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illustrative data and industry standards, providing a high-level estimation for Product Carbon Footprint analysis. Actual results may vary based on specific operational details and granular primary data.</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liztsosgrs</w:t>
      </w:r>
    </w:p>
    <w:p>
      <w:pPr>
        <w:pStyle w:val="BodyText"/>
      </w:pPr>
      <w:r>
        <w:rPr>
          <w:bCs/>
          <w:b/>
        </w:rPr>
        <w:t xml:space="preserve">Company:</w:t>
      </w:r>
      <w:r>
        <w:t xml:space="preserve"> </w:t>
      </w:r>
      <w:r>
        <w:t xml:space="preserve">ygforxivpj</w:t>
      </w:r>
    </w:p>
    <w:p>
      <w:pPr>
        <w:pStyle w:val="BodyText"/>
      </w:pPr>
      <w:r>
        <w:rPr>
          <w:bCs/>
          <w:b/>
        </w:rPr>
        <w:t xml:space="preserve">Senior Sustainability Consultant:</w:t>
      </w:r>
      <w:r>
        <w:t xml:space="preserve"> </w:t>
      </w:r>
      <w:r>
        <w:t xml:space="preserve">qkirzvgiim</w:t>
      </w:r>
    </w:p>
    <w:p>
      <w:pPr>
        <w:pStyle w:val="BodyText"/>
      </w:pPr>
      <w:r>
        <w:rPr>
          <w:bCs/>
          <w:b/>
        </w:rPr>
        <w:t xml:space="preserve">Generated Date:</w:t>
      </w:r>
      <w:r>
        <w:t xml:space="preserve"> </w:t>
      </w:r>
      <w:r>
        <w:t xml:space="preserve">May 20,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liztsosgrs, manufactured by ygforxivpj. The analysis was conducted by qkirzvgiim, a Senior Sustainability Consultant specializing in the GHG Protocol. The primary objective is to quantify the greenhouse gas (GHG) emissions associated with the product\'s entire lifecycle, from raw material extraction to end-of-life treatment, adhering to the GHG Protocol\'s accounting standards. This assessment integrates the latest industry requirements, including considerations for the upcoming 2026 GHG Protocol Land Sector and Removals (LSR) Standard and proposed Scope 3 reporting completeness requirements. The total Product Carbon Footprint for one functional unit of liztsosgrs is calculated to be approximately</w:t>
      </w:r>
      <w:r>
        <w:t xml:space="preserve"> </w:t>
      </w:r>
      <w:r>
        <w:rPr>
          <w:bCs/>
          <w:b/>
        </w:rPr>
        <w:t xml:space="preserve">14.60 kg CO2e</w:t>
      </w:r>
      <w:r>
        <w:t xml:space="preserve">.</w:t>
      </w:r>
    </w:p>
    <w:p>
      <w:pPr>
        <w:pStyle w:val="BodyText"/>
      </w:pPr>
      <w:r>
        <w:t xml:space="preserve">Note: For the purpose of this illustrative report, placeholder values provided in the prompt (e.g., \'zrmloluu\', \'mfnqexgjxp\') have been replaced with realistic, yet illustrative, numerical data for calculations. Actual calculations would require granular, primary data for high accuracy.</w:t>
      </w:r>
    </w:p>
    <w:p>
      <w:r>
        <w:pict>
          <v:rect style="width:0;height:1.5pt" o:hralign="center" o:hrstd="t" o:hr="t"/>
        </w:pict>
      </w:r>
    </w:p>
    <w:bookmarkEnd w:id="23"/>
    <w:bookmarkStart w:id="29" w:name="methodology-and-scope-definition"/>
    <w:p>
      <w:pPr>
        <w:pStyle w:val="Heading2"/>
      </w:pPr>
      <w:r>
        <w:t xml:space="preserve">1. Methodology and Scope Definition</w:t>
      </w:r>
    </w:p>
    <w:p>
      <w:pPr>
        <w:pStyle w:val="FirstParagraph"/>
      </w:pPr>
      <w:r>
        <w:t xml:space="preserve">The Product Carbon Footprint (PCF) analysis for liztsosgrs follows a comprehensive methodology aligned with the GHG Protocol, specifically the Product Standard. The assessment covers the full lifecycle of the product, from raw material acquisition to end-of-life, categorizing emissions into Scope 1, Scope 2, and Scope 3 as defined by the GHG Protocol Corporate Standard.</w:t>
      </w:r>
    </w:p>
    <w:bookmarkStart w:id="24"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liztsosgrs</w:t>
      </w:r>
      <w:r>
        <w:t xml:space="preserve">.</w:t>
      </w:r>
    </w:p>
    <w:bookmarkEnd w:id="24"/>
    <w:bookmarkStart w:id="25" w:name="system-boundary"/>
    <w:p>
      <w:pPr>
        <w:pStyle w:val="Heading3"/>
      </w:pPr>
      <w:r>
        <w:t xml:space="preserve">1.2. System Boundary</w:t>
      </w:r>
    </w:p>
    <w:p>
      <w:pPr>
        <w:numPr>
          <w:ilvl w:val="0"/>
          <w:numId w:val="1002"/>
        </w:numPr>
        <w:pStyle w:val="Compact"/>
      </w:pPr>
      <w:r>
        <w:t xml:space="preserve">The system boundary is established as</w:t>
      </w:r>
      <w:r>
        <w:t xml:space="preserve"> </w:t>
      </w:r>
      <w:r>
        <w:rPr>
          <w:bCs/>
          <w:b/>
        </w:rPr>
        <w:t xml:space="preserve">"Cradle-to-Grave"</w:t>
      </w:r>
      <w:r>
        <w:t xml:space="preserve">, extending beyond the initially specified \'factory_gate\' to include the use phase and end-of-life scenarios, as dictated by the provided parameters. This encompasses all relevant lifecycle stages: Raw Material Acquisition, Manufacturing, Transportation (Upstream &amp; Downstream), Use Phase, and End-of-Life.</w:t>
      </w:r>
    </w:p>
    <w:bookmarkEnd w:id="25"/>
    <w:bookmarkStart w:id="26"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and/or significant transport from Europe to China)</w:t>
      </w:r>
    </w:p>
    <w:bookmarkEnd w:id="26"/>
    <w:bookmarkStart w:id="27" w:name="accounting-standard"/>
    <w:p>
      <w:pPr>
        <w:pStyle w:val="Heading3"/>
      </w:pPr>
      <w:r>
        <w:t xml:space="preserve">1.4. Accounting Standard</w:t>
      </w:r>
    </w:p>
    <w:p>
      <w:pPr>
        <w:numPr>
          <w:ilvl w:val="0"/>
          <w:numId w:val="1004"/>
        </w:numPr>
        <w:pStyle w:val="Compact"/>
      </w:pPr>
      <w:r>
        <w:t xml:space="preserve">This analysis strictly adheres to the</w:t>
      </w:r>
      <w:r>
        <w:t xml:space="preserve"> </w:t>
      </w:r>
      <w:r>
        <w:rPr>
          <w:bCs/>
          <w:b/>
        </w:rPr>
        <w:t xml:space="preserve">GHG Protocol</w:t>
      </w:r>
      <w:r>
        <w:t xml:space="preserve">, ensuring consistent and transparent reporting of greenhouse gas emissions across the value chain. Emissions are categorized into Scope 1 (direct emissions from owned or controlled sources), Scope 2 (indirect emissions from the generation of purchased electricity, steam, heat, or cooling), and Scope 3 (all other indirect emissions that occur in a company’s value chain).</w:t>
      </w:r>
    </w:p>
    <w:bookmarkEnd w:id="27"/>
    <w:bookmarkStart w:id="28" w:name="ghg-protocol-updates"/>
    <w:p>
      <w:pPr>
        <w:pStyle w:val="Heading3"/>
      </w:pPr>
      <w:r>
        <w:t xml:space="preserve">1.5. 2026 GHG Protocol Updates</w:t>
      </w:r>
    </w:p>
    <w:p>
      <w:pPr>
        <w:numPr>
          <w:ilvl w:val="0"/>
          <w:numId w:val="1005"/>
        </w:numPr>
        <w:pStyle w:val="Compact"/>
      </w:pPr>
      <w:r>
        <w:rPr>
          <w:bCs/>
          <w:b/>
        </w:rPr>
        <w:t xml:space="preserve">Land Sector and Removals (LSR) Standard:</w:t>
      </w:r>
      <w:r>
        <w:t xml:space="preserve"> </w:t>
      </w:r>
      <w:r>
        <w:t xml:space="preserve">While primarily focused on manufactured goods, this report acknowledges the 2026 LSR Standard, effective January 1, 2027. This standard provides methods to quantify and report land emissions, CO2 removals, and biogenic products, and would be critical for products with significant agricultural or land-use impacts. For liztsosgrs, direct land-use emissions are considered negligible in the manufacturing process itself but would be relevant if raw materials involved significant land-intensive agriculture or forestry.</w:t>
      </w:r>
    </w:p>
    <w:p>
      <w:pPr>
        <w:numPr>
          <w:ilvl w:val="0"/>
          <w:numId w:val="1005"/>
        </w:numPr>
        <w:pStyle w:val="Compact"/>
      </w:pPr>
      <w:r>
        <w:rPr>
          <w:bCs/>
          <w:b/>
        </w:rPr>
        <w:t xml:space="preserve">Scope 3 Compliance (Proposed 95% Coverage):</w:t>
      </w:r>
      <w:r>
        <w:t xml:space="preserve"> </w:t>
      </w:r>
      <w:r>
        <w:t xml:space="preserve">This report aims to align with the proposed revisions to the GHG Protocol\'s Scope 3 Standard, released in March 2026, which suggest a requirement to account for and report at least 95% of total required Scope 3 emissions. This analysis strives for comprehensive Scope 3 coverage to identify all significant value chain hotspots.</w:t>
      </w:r>
    </w:p>
    <w:p>
      <w:r>
        <w:pict>
          <v:rect style="width:0;height:1.5pt" o:hralign="center" o:hrstd="t" o:hr="t"/>
        </w:pict>
      </w:r>
    </w:p>
    <w:bookmarkEnd w:id="28"/>
    <w:bookmarkEnd w:id="29"/>
    <w:bookmarkStart w:id="37" w:name="lifecycle-mapping-data-collection"/>
    <w:p>
      <w:pPr>
        <w:pStyle w:val="Heading2"/>
      </w:pPr>
      <w:r>
        <w:t xml:space="preserve">2. &amp; 3. Lifecycle Mapping &amp; Data Collection</w:t>
      </w:r>
    </w:p>
    <w:p>
      <w:pPr>
        <w:pStyle w:val="FirstParagraph"/>
      </w:pPr>
      <w:r>
        <w:t xml:space="preserve">This section details the inputs and processes across the product\'s lifecycle, outlining the key data points collected for emissions calculation. The analysis utilizes the provided Detailed Bill of Materials (BOM), specific logistics data, energy customization, and product durability/consumption data.</w:t>
      </w:r>
    </w:p>
    <w:bookmarkStart w:id="30" w:name="X1749f0c81ca9fb1fa53191287fe56589a591937"/>
    <w:p>
      <w:pPr>
        <w:pStyle w:val="Heading3"/>
      </w:pPr>
      <w:r>
        <w:t xml:space="preserve">2.1. Bill of Materials (BOM) - Illustrative Data</w:t>
      </w:r>
    </w:p>
    <w:p>
      <w:pPr>
        <w:pStyle w:val="FirstParagraph"/>
      </w:pPr>
      <w:r>
        <w:t xml:space="preserve">The following table presents the detailed Bill of Materials for liztsosgrs. The provided BOM parameter \'zrmloluu\' is represented by the illustrative data below, incorporating material types and their associated carbon footprints as specified in the prompt format.</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0.8</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3.8</w:t>
            </w:r>
          </w:p>
        </w:tc>
        <w:tc>
          <w:tcPr/>
          <w:p>
            <w:pPr>
              <w:pStyle w:val="Compact"/>
              <w:jc w:val="left"/>
            </w:pPr>
            <w:r>
              <w:t xml:space="preserve">1.14</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 equivalent)</w:t>
            </w:r>
          </w:p>
        </w:tc>
        <w:tc>
          <w:tcPr/>
          <w:p>
            <w:pPr>
              <w:pStyle w:val="Compact"/>
              <w:jc w:val="left"/>
            </w:pPr>
            <w:r>
              <w:t xml:space="preserve">15.0 (per unit)</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M005</w:t>
            </w:r>
          </w:p>
        </w:tc>
        <w:tc>
          <w:tcPr/>
          <w:p>
            <w:pPr>
              <w:pStyle w:val="Compact"/>
              <w:jc w:val="left"/>
            </w:pPr>
            <w:r>
              <w:t xml:space="preserve">Paper Packaging</w:t>
            </w:r>
          </w:p>
        </w:tc>
        <w:tc>
          <w:tcPr/>
          <w:p>
            <w:pPr>
              <w:pStyle w:val="Compact"/>
              <w:jc w:val="left"/>
            </w:pPr>
            <w:r>
              <w:t xml:space="preserve">Packaging</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1.2</w:t>
            </w:r>
          </w:p>
        </w:tc>
        <w:tc>
          <w:tcPr/>
          <w:p>
            <w:pPr>
              <w:pStyle w:val="Compact"/>
              <w:jc w:val="left"/>
            </w:pPr>
            <w:r>
              <w:t xml:space="preserve">0.24</w:t>
            </w:r>
          </w:p>
        </w:tc>
      </w:tr>
      <w:tr>
        <w:tc>
          <w:tcPr>
            <w:gridSpan w:val="6"/>
          </w:tcPr>
          <w:p>
            <w:pPr>
              <w:pStyle w:val="Compact"/>
              <w:jc w:val="right"/>
            </w:pPr>
            <w:r>
              <w:rPr>
                <w:bCs/>
                <w:b/>
              </w:rPr>
              <w:t xml:space="preserve">Total Material Carbon Impact (Illustrative):</w:t>
            </w:r>
          </w:p>
        </w:tc>
        <w:tc>
          <w:tcPr/>
          <w:p>
            <w:pPr>
              <w:pStyle w:val="Compact"/>
              <w:jc w:val="left"/>
            </w:pPr>
            <w:r>
              <w:rPr>
                <w:bCs/>
                <w:b/>
              </w:rPr>
              <w:t xml:space="preserve">5.89</w:t>
            </w:r>
          </w:p>
        </w:tc>
      </w:tr>
    </w:tbl>
    <w:p>
      <w:pPr>
        <w:pStyle w:val="BodyText"/>
      </w:pPr>
      <w:r>
        <w:t xml:space="preserve">The \'Total Carbon\' values above are based on</w:t>
      </w:r>
      <w:r>
        <w:t xml:space="preserve"> </w:t>
      </w:r>
      <w:r>
        <w:rPr>
          <w:rStyle w:val="VerbatimChar"/>
        </w:rPr>
        <w:t xml:space="preserve">Qty * Emission Factor</w:t>
      </w:r>
      <w:r>
        <w:t xml:space="preserve"> </w:t>
      </w:r>
      <w:r>
        <w:t xml:space="preserve">for each item, representing upstream (Scope 3, Category 1: Purchased goods and services) emissions.</w:t>
      </w:r>
    </w:p>
    <w:bookmarkEnd w:id="30"/>
    <w:bookmarkStart w:id="31" w:name="manufacturing-energy-inputs-scope-1-2"/>
    <w:p>
      <w:pPr>
        <w:pStyle w:val="Heading3"/>
      </w:pPr>
      <w:r>
        <w:t xml:space="preserve">2.2. Manufacturing Energy Inputs (Scope 1 &amp; 2)</w:t>
      </w:r>
    </w:p>
    <w:p>
      <w:pPr>
        <w:pStyle w:val="FirstParagraph"/>
      </w:pPr>
      <w:r>
        <w:t xml:space="preserve">Production for liztsosgrs occurs in China, leveraging specific energy profiles:</w:t>
      </w:r>
    </w:p>
    <w:p>
      <w:pPr>
        <w:numPr>
          <w:ilvl w:val="0"/>
          <w:numId w:val="1006"/>
        </w:numPr>
        <w:pStyle w:val="Compact"/>
      </w:pPr>
      <w:r>
        <w:rPr>
          <w:bCs/>
          <w:b/>
        </w:rPr>
        <w:t xml:space="preserve">Renewable Energy Usage (zntepdodod):</w:t>
      </w:r>
      <w:r>
        <w:t xml:space="preserve"> </w:t>
      </w:r>
      <w:r>
        <w:t xml:space="preserve">60% of electricity is sourced from renewable energy.</w:t>
      </w:r>
    </w:p>
    <w:p>
      <w:pPr>
        <w:numPr>
          <w:ilvl w:val="0"/>
          <w:numId w:val="1006"/>
        </w:numPr>
        <w:pStyle w:val="Compact"/>
      </w:pPr>
      <w:r>
        <w:rPr>
          <w:bCs/>
          <w:b/>
        </w:rPr>
        <w:t xml:space="preserve">Energy Intensity (kWh/unit) (wndeuomqei):</w:t>
      </w:r>
      <w:r>
        <w:t xml:space="preserve"> </w:t>
      </w:r>
      <w:r>
        <w:t xml:space="preserve">3.0 kWh per unit of product.</w:t>
      </w:r>
    </w:p>
    <w:p>
      <w:pPr>
        <w:numPr>
          <w:ilvl w:val="0"/>
          <w:numId w:val="1006"/>
        </w:numPr>
        <w:pStyle w:val="Compact"/>
      </w:pPr>
      <w:r>
        <w:rPr>
          <w:bCs/>
          <w:b/>
        </w:rPr>
        <w:t xml:space="preserve">Illustrative Grid Emission Factor (China):</w:t>
      </w:r>
      <w:r>
        <w:t xml:space="preserve"> </w:t>
      </w:r>
      <w:r>
        <w:t xml:space="preserve">0.57 kgCO2e/kWh (average for China\'s grid, based on 2021-2022 data)</w:t>
      </w:r>
    </w:p>
    <w:p>
      <w:pPr>
        <w:numPr>
          <w:ilvl w:val="0"/>
          <w:numId w:val="1006"/>
        </w:numPr>
        <w:pStyle w:val="Compact"/>
      </w:pPr>
      <w:r>
        <w:rPr>
          <w:bCs/>
          <w:b/>
        </w:rPr>
        <w:t xml:space="preserve">Scope 1 Emissions:</w:t>
      </w:r>
      <w:r>
        <w:t xml:space="preserve"> </w:t>
      </w:r>
      <w:r>
        <w:t xml:space="preserve">Assumed to be negligible for this product\'s manufacturing process, implying no significant on-site direct combustion.</w:t>
      </w:r>
    </w:p>
    <w:p>
      <w:pPr>
        <w:numPr>
          <w:ilvl w:val="0"/>
          <w:numId w:val="1006"/>
        </w:numPr>
        <w:pStyle w:val="Compact"/>
      </w:pPr>
      <w:r>
        <w:rPr>
          <w:bCs/>
          <w:b/>
        </w:rPr>
        <w:t xml:space="preserve">Scope 2 Emissions (Purchased Electricity):</w:t>
      </w:r>
    </w:p>
    <w:p>
      <w:pPr>
        <w:numPr>
          <w:ilvl w:val="1"/>
          <w:numId w:val="1007"/>
        </w:numPr>
        <w:pStyle w:val="Compact"/>
      </w:pPr>
      <w:r>
        <w:t xml:space="preserve">Total Electricity Consumption: 3.0 kWh/unit</w:t>
      </w:r>
    </w:p>
    <w:p>
      <w:pPr>
        <w:numPr>
          <w:ilvl w:val="1"/>
          <w:numId w:val="1007"/>
        </w:numPr>
        <w:pStyle w:val="Compact"/>
      </w:pPr>
      <w:r>
        <w:t xml:space="preserve">Renewable Electricity (60%): 3.0 kWh * 0.60 = 1.8 kWh (assumed 0 kgCO2e emissions for certified renewable energy)</w:t>
      </w:r>
    </w:p>
    <w:p>
      <w:pPr>
        <w:numPr>
          <w:ilvl w:val="1"/>
          <w:numId w:val="1007"/>
        </w:numPr>
        <w:pStyle w:val="Compact"/>
      </w:pPr>
      <w:r>
        <w:t xml:space="preserve">Non-Renewable Electricity (40%): 3.0 kWh * 0.40 = 1.2 kWh</w:t>
      </w:r>
    </w:p>
    <w:p>
      <w:pPr>
        <w:numPr>
          <w:ilvl w:val="1"/>
          <w:numId w:val="1007"/>
        </w:numPr>
        <w:pStyle w:val="Compact"/>
      </w:pPr>
      <w:r>
        <w:t xml:space="preserve">Emissions from Non-Renewable Electricity: 1.2 kWh * 0.57 kgCO2e/kWh = 0.684 kgCO2e/unit</w:t>
      </w:r>
    </w:p>
    <w:bookmarkEnd w:id="31"/>
    <w:bookmarkStart w:id="34" w:name="X141a9f28daa66cd45ae00801640c977f8bcf6b3"/>
    <w:p>
      <w:pPr>
        <w:pStyle w:val="Heading3"/>
      </w:pPr>
      <w:r>
        <w:t xml:space="preserve">2.3. Transportation Data (Scope 3 Upstream &amp; Downstream)</w:t>
      </w:r>
    </w:p>
    <w:p>
      <w:pPr>
        <w:pStyle w:val="FirstParagraph"/>
      </w:pPr>
      <w:r>
        <w:t xml:space="preserve">Logistics play a significant role in the product\'s footprint. The provided parameters for transport mode (\'Select Mode\'), distance (\'mfnqexgjxp\'), and last-mile delivery (\'Delivery Type\') are detailed with illustrative data below.</w:t>
      </w:r>
    </w:p>
    <w:p>
      <w:pPr>
        <w:numPr>
          <w:ilvl w:val="0"/>
          <w:numId w:val="1008"/>
        </w:numPr>
        <w:pStyle w:val="Compact"/>
      </w:pPr>
      <w:r>
        <w:rPr>
          <w:bCs/>
          <w:b/>
        </w:rPr>
        <w:t xml:space="preserve">Illustrative Product Weight for Transport:</w:t>
      </w:r>
      <w:r>
        <w:t xml:space="preserve"> </w:t>
      </w:r>
      <w:r>
        <w:t xml:space="preserve">Sum of BOM quantities = 1.45 kg (rounded to 1.5 kg for calculation simplicity).</w:t>
      </w:r>
    </w:p>
    <w:bookmarkStart w:id="32" w:name="X817c7a4771b6a258591e694154b72096959b7db"/>
    <w:p>
      <w:pPr>
        <w:pStyle w:val="Heading4"/>
      </w:pPr>
      <w:r>
        <w:t xml:space="preserve">2.3.1. Inbound Logistics (Upstream - Europe Focused to China Factory)</w:t>
      </w:r>
    </w:p>
    <w:p>
      <w:pPr>
        <w:numPr>
          <w:ilvl w:val="0"/>
          <w:numId w:val="1009"/>
        </w:numPr>
        <w:pStyle w:val="Compact"/>
      </w:pPr>
      <w:r>
        <w:rPr>
          <w:bCs/>
          <w:b/>
        </w:rPr>
        <w:t xml:space="preserve">Mode (Select Mode - Illustrative):</w:t>
      </w:r>
      <w:r>
        <w:t xml:space="preserve"> </w:t>
      </w:r>
      <w:r>
        <w:t xml:space="preserve">Ocean Freight for bulk transport from Europe to China, followed by Road Freight for local delivery to the factory.</w:t>
      </w:r>
    </w:p>
    <w:p>
      <w:pPr>
        <w:numPr>
          <w:ilvl w:val="0"/>
          <w:numId w:val="1009"/>
        </w:numPr>
        <w:pStyle w:val="Compact"/>
      </w:pPr>
      <w:r>
        <w:rPr>
          <w:bCs/>
          <w:b/>
        </w:rPr>
        <w:t xml:space="preserve">Distance (mfnqexgjxp - Illustrative breakdown):</w:t>
      </w:r>
    </w:p>
    <w:p>
      <w:pPr>
        <w:numPr>
          <w:ilvl w:val="1"/>
          <w:numId w:val="1010"/>
        </w:numPr>
        <w:pStyle w:val="Compact"/>
      </w:pPr>
      <w:r>
        <w:t xml:space="preserve">Ocean Freight (Europe to China): 8,000 km</w:t>
      </w:r>
    </w:p>
    <w:p>
      <w:pPr>
        <w:numPr>
          <w:ilvl w:val="1"/>
          <w:numId w:val="1010"/>
        </w:numPr>
        <w:pStyle w:val="Compact"/>
      </w:pPr>
      <w:r>
        <w:t xml:space="preserve">Road Freight (local within China): 500 km</w:t>
      </w:r>
    </w:p>
    <w:p>
      <w:pPr>
        <w:numPr>
          <w:ilvl w:val="0"/>
          <w:numId w:val="1009"/>
        </w:numPr>
        <w:pStyle w:val="Compact"/>
      </w:pPr>
      <w:r>
        <w:rPr>
          <w:bCs/>
          <w:b/>
        </w:rPr>
        <w:t xml:space="preserve">Illustrative Emission Factors:</w:t>
      </w:r>
    </w:p>
    <w:p>
      <w:pPr>
        <w:numPr>
          <w:ilvl w:val="1"/>
          <w:numId w:val="1011"/>
        </w:numPr>
        <w:pStyle w:val="Compact"/>
      </w:pPr>
      <w:r>
        <w:t xml:space="preserve">Ocean Freight (Container Ship): 0.016 kgCO2e/tonne-km.</w:t>
      </w:r>
    </w:p>
    <w:p>
      <w:pPr>
        <w:numPr>
          <w:ilvl w:val="1"/>
          <w:numId w:val="1011"/>
        </w:numPr>
        <w:pStyle w:val="Compact"/>
      </w:pPr>
      <w:r>
        <w:t xml:space="preserve">Road Freight (Heavy Goods Vehicle): 0.09 kgCO2e/tonne-km.</w:t>
      </w:r>
    </w:p>
    <w:bookmarkEnd w:id="32"/>
    <w:bookmarkStart w:id="33" w:name="X52fc866a08a470ccaa7cd916d9bdf427d3c8fcc"/>
    <w:p>
      <w:pPr>
        <w:pStyle w:val="Heading4"/>
      </w:pPr>
      <w:r>
        <w:t xml:space="preserve">2.3.2. Outbound Logistics (Downstream - from China Factory to Customer)</w:t>
      </w:r>
    </w:p>
    <w:p>
      <w:pPr>
        <w:numPr>
          <w:ilvl w:val="0"/>
          <w:numId w:val="1012"/>
        </w:numPr>
        <w:pStyle w:val="Compact"/>
      </w:pPr>
      <w:r>
        <w:rPr>
          <w:bCs/>
          <w:b/>
        </w:rPr>
        <w:t xml:space="preserve">Mode (Delivery Type - Illustrative):</w:t>
      </w:r>
      <w:r>
        <w:t xml:space="preserve"> </w:t>
      </w:r>
      <w:r>
        <w:t xml:space="preserve">Road Freight (HGV to distribution center) and Last-Mile Delivery (van to end-user).</w:t>
      </w:r>
    </w:p>
    <w:p>
      <w:pPr>
        <w:numPr>
          <w:ilvl w:val="0"/>
          <w:numId w:val="1012"/>
        </w:numPr>
        <w:pStyle w:val="Compact"/>
      </w:pPr>
      <w:r>
        <w:rPr>
          <w:bCs/>
          <w:b/>
        </w:rPr>
        <w:t xml:space="preserve">Distance (Illustrative breakdown):</w:t>
      </w:r>
    </w:p>
    <w:p>
      <w:pPr>
        <w:numPr>
          <w:ilvl w:val="1"/>
          <w:numId w:val="1013"/>
        </w:numPr>
        <w:pStyle w:val="Compact"/>
      </w:pPr>
      <w:r>
        <w:t xml:space="preserve">Road Freight (to distribution center): 1,000 km</w:t>
      </w:r>
    </w:p>
    <w:p>
      <w:pPr>
        <w:numPr>
          <w:ilvl w:val="1"/>
          <w:numId w:val="1013"/>
        </w:numPr>
        <w:pStyle w:val="Compact"/>
      </w:pPr>
      <w:r>
        <w:t xml:space="preserve">Last-Mile Delivery (to customer): 50 km</w:t>
      </w:r>
    </w:p>
    <w:p>
      <w:pPr>
        <w:numPr>
          <w:ilvl w:val="0"/>
          <w:numId w:val="1012"/>
        </w:numPr>
        <w:pStyle w:val="Compact"/>
      </w:pPr>
      <w:r>
        <w:rPr>
          <w:bCs/>
          <w:b/>
        </w:rPr>
        <w:t xml:space="preserve">Illustrative Emission Factor:</w:t>
      </w:r>
      <w:r>
        <w:t xml:space="preserve"> </w:t>
      </w:r>
      <w:r>
        <w:t xml:space="preserve">Road Freight (Heavy Goods Vehicle/Van): 0.09 kgCO2e/tonne-km.</w:t>
      </w:r>
    </w:p>
    <w:bookmarkEnd w:id="33"/>
    <w:bookmarkEnd w:id="34"/>
    <w:bookmarkStart w:id="35" w:name="use-phase-data-scope-3-downstream"/>
    <w:p>
      <w:pPr>
        <w:pStyle w:val="Heading3"/>
      </w:pPr>
      <w:r>
        <w:t xml:space="preserve">2.4. Use Phase Data (Scope 3 Downstream)</w:t>
      </w:r>
    </w:p>
    <w:p>
      <w:pPr>
        <w:pStyle w:val="FirstParagraph"/>
      </w:pPr>
      <w:r>
        <w:t xml:space="preserve">The environmental impact during the product\'s use is calculated using specific lifespan and energy consumption data:</w:t>
      </w:r>
    </w:p>
    <w:p>
      <w:pPr>
        <w:numPr>
          <w:ilvl w:val="0"/>
          <w:numId w:val="1014"/>
        </w:numPr>
        <w:pStyle w:val="Compact"/>
      </w:pPr>
      <w:r>
        <w:rPr>
          <w:bCs/>
          <w:b/>
        </w:rPr>
        <w:t xml:space="preserve">Product Lifespan (rrjdzilzwr):</w:t>
      </w:r>
      <w:r>
        <w:t xml:space="preserve"> </w:t>
      </w:r>
      <w:r>
        <w:t xml:space="preserve">3 years.</w:t>
      </w:r>
    </w:p>
    <w:p>
      <w:pPr>
        <w:numPr>
          <w:ilvl w:val="0"/>
          <w:numId w:val="1014"/>
        </w:numPr>
        <w:pStyle w:val="Compact"/>
      </w:pPr>
      <w:r>
        <w:rPr>
          <w:bCs/>
          <w:b/>
        </w:rPr>
        <w:t xml:space="preserve">Energy Consumption in Use (ziwlsldxqh):</w:t>
      </w:r>
      <w:r>
        <w:t xml:space="preserve"> </w:t>
      </w:r>
      <w:r>
        <w:t xml:space="preserve">8 kWh/year.</w:t>
      </w:r>
    </w:p>
    <w:p>
      <w:pPr>
        <w:numPr>
          <w:ilvl w:val="0"/>
          <w:numId w:val="1014"/>
        </w:numPr>
        <w:pStyle w:val="Compact"/>
      </w:pPr>
      <w:r>
        <w:rPr>
          <w:bCs/>
          <w:b/>
        </w:rPr>
        <w:t xml:space="preserve">Illustrative Average User Electricity Emission Factor:</w:t>
      </w:r>
      <w:r>
        <w:t xml:space="preserve"> </w:t>
      </w:r>
      <w:r>
        <w:t xml:space="preserve">0.3 kgCO2e/kWh (representing a blend of global grids where the product is likely used).</w:t>
      </w:r>
    </w:p>
    <w:bookmarkEnd w:id="35"/>
    <w:bookmarkStart w:id="36" w:name="X0b1a7869ec5c89eda6252c7ad7e638ee66010db"/>
    <w:p>
      <w:pPr>
        <w:pStyle w:val="Heading3"/>
      </w:pPr>
      <w:r>
        <w:t xml:space="preserve">2.5. End-of-Life (EoL) Scenarios (Scope 3 Downstream)</w:t>
      </w:r>
    </w:p>
    <w:p>
      <w:pPr>
        <w:pStyle w:val="FirstParagraph"/>
      </w:pPr>
      <w:r>
        <w:t xml:space="preserve">Circular economy impacts are incorporated based on recyclability and take-back programs:</w:t>
      </w:r>
    </w:p>
    <w:p>
      <w:pPr>
        <w:numPr>
          <w:ilvl w:val="0"/>
          <w:numId w:val="1015"/>
        </w:numPr>
        <w:pStyle w:val="Compact"/>
      </w:pPr>
      <w:r>
        <w:rPr>
          <w:bCs/>
          <w:b/>
        </w:rPr>
        <w:t xml:space="preserve">Recyclability Percentage (idmyykupzs):</w:t>
      </w:r>
      <w:r>
        <w:t xml:space="preserve"> </w:t>
      </w:r>
      <w:r>
        <w:t xml:space="preserve">75% of the product materials are recyclable.</w:t>
      </w:r>
    </w:p>
    <w:p>
      <w:pPr>
        <w:numPr>
          <w:ilvl w:val="0"/>
          <w:numId w:val="1015"/>
        </w:numPr>
        <w:pStyle w:val="Compact"/>
      </w:pPr>
      <w:r>
        <w:rPr>
          <w:bCs/>
          <w:b/>
        </w:rPr>
        <w:t xml:space="preserve">Circular/Take-back Programs (sprrrkksot):</w:t>
      </w:r>
      <w:r>
        <w:t xml:space="preserve"> </w:t>
      </w:r>
      <w:r>
        <w:t xml:space="preserve">Active programs are in place, leading to an illustrative 15% reduction in emissions for the recyclable portion that is effectively managed.</w:t>
      </w:r>
    </w:p>
    <w:p>
      <w:pPr>
        <w:numPr>
          <w:ilvl w:val="0"/>
          <w:numId w:val="1015"/>
        </w:numPr>
        <w:pStyle w:val="Compact"/>
      </w:pPr>
      <w:r>
        <w:rPr>
          <w:bCs/>
          <w:b/>
        </w:rPr>
        <w:t xml:space="preserve">Illustrative Waste Treatment Emission Factor (net of recycling benefits):</w:t>
      </w:r>
      <w:r>
        <w:t xml:space="preserve"> </w:t>
      </w:r>
      <w:r>
        <w:t xml:space="preserve">0.8 kgCO2e/kg (for the non-recycled portion after considering landfill/incineration impacts).</w:t>
      </w:r>
    </w:p>
    <w:p>
      <w:r>
        <w:pict>
          <v:rect style="width:0;height:1.5pt" o:hralign="center" o:hrstd="t" o:hr="t"/>
        </w:pict>
      </w:r>
    </w:p>
    <w:bookmarkEnd w:id="36"/>
    <w:bookmarkEnd w:id="37"/>
    <w:bookmarkStart w:id="40" w:name="Xdd1c2ba429305467bad58a0828410d9d0fce25c"/>
    <w:p>
      <w:pPr>
        <w:pStyle w:val="Heading2"/>
      </w:pPr>
      <w:r>
        <w:t xml:space="preserve">4. Emissions Calculation (Activity * Emission Factor = CO2e)</w:t>
      </w:r>
    </w:p>
    <w:p>
      <w:pPr>
        <w:pStyle w:val="FirstParagraph"/>
      </w:pPr>
      <w:r>
        <w:t xml:space="preserve">This section presents the aggregated emissions by lifecycle stage and GHG Protocol scope, based on the illustrative data and emission factors described above. All emissions are reported in kilograms of carbon dioxide equivalent (kgCO2e).</w:t>
      </w:r>
    </w:p>
    <w:bookmarkStart w:id="38" w:name="calculation-summary-by-lifecycle-stage"/>
    <w:p>
      <w:pPr>
        <w:pStyle w:val="Heading3"/>
      </w:pPr>
      <w:r>
        <w:t xml:space="preserve">4.1. Calculation Summary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Category (GHG Protocol Scope)</w:t>
            </w:r>
          </w:p>
        </w:tc>
        <w:tc>
          <w:tcPr/>
          <w:p>
            <w:pPr>
              <w:pStyle w:val="Compact"/>
              <w:jc w:val="left"/>
            </w:pPr>
            <w:r>
              <w:t xml:space="preserve">Calculated Emissions (kgCO2e/unit)</w:t>
            </w:r>
          </w:p>
        </w:tc>
      </w:tr>
      <w:tr>
        <w:tc>
          <w:tcPr/>
          <w:p>
            <w:pPr>
              <w:pStyle w:val="Compact"/>
              <w:jc w:val="left"/>
            </w:pPr>
            <w:r>
              <w:t xml:space="preserve">Raw Material Acquisition (BOM)</w:t>
            </w:r>
          </w:p>
        </w:tc>
        <w:tc>
          <w:tcPr/>
          <w:p>
            <w:pPr>
              <w:pStyle w:val="Compact"/>
              <w:jc w:val="left"/>
            </w:pPr>
            <w:r>
              <w:t xml:space="preserve">Scope 3, Category 1 (Purchased Goods &amp; Services)</w:t>
            </w:r>
          </w:p>
        </w:tc>
        <w:tc>
          <w:tcPr/>
          <w:p>
            <w:pPr>
              <w:pStyle w:val="Compact"/>
              <w:jc w:val="left"/>
            </w:pPr>
            <w:r>
              <w:t xml:space="preserve">6.10</w:t>
            </w:r>
          </w:p>
        </w:tc>
      </w:tr>
      <w:tr>
        <w:tc>
          <w:tcPr/>
          <w:p>
            <w:pPr>
              <w:pStyle w:val="Compact"/>
              <w:jc w:val="left"/>
            </w:pPr>
            <w:r>
              <w:t xml:space="preserve">Manufacturing Energy (Electricity)</w:t>
            </w:r>
          </w:p>
        </w:tc>
        <w:tc>
          <w:tcPr/>
          <w:p>
            <w:pPr>
              <w:pStyle w:val="Compact"/>
              <w:jc w:val="left"/>
            </w:pPr>
            <w:r>
              <w:t xml:space="preserve">Scope 2 (Purchased Electricity)</w:t>
            </w:r>
          </w:p>
        </w:tc>
        <w:tc>
          <w:tcPr/>
          <w:p>
            <w:pPr>
              <w:pStyle w:val="Compact"/>
              <w:jc w:val="left"/>
            </w:pPr>
            <w:r>
              <w:t xml:space="preserve">0.684</w:t>
            </w:r>
          </w:p>
        </w:tc>
      </w:tr>
      <w:tr>
        <w:tc>
          <w:tcPr/>
          <w:p>
            <w:pPr>
              <w:pStyle w:val="Compact"/>
              <w:jc w:val="left"/>
            </w:pPr>
            <w:r>
              <w:t xml:space="preserve">Inbound Transport</w:t>
            </w:r>
          </w:p>
        </w:tc>
        <w:tc>
          <w:tcPr/>
          <w:p>
            <w:pPr>
              <w:pStyle w:val="Compact"/>
              <w:jc w:val="left"/>
            </w:pPr>
            <w:r>
              <w:t xml:space="preserve">Scope 3, Category 4 (Upstream Transportation &amp; Distribution)</w:t>
            </w:r>
          </w:p>
        </w:tc>
        <w:tc>
          <w:tcPr/>
          <w:p>
            <w:pPr>
              <w:pStyle w:val="Compact"/>
              <w:jc w:val="left"/>
            </w:pPr>
            <w:r>
              <w:t xml:space="preserve">0.188</w:t>
            </w:r>
          </w:p>
        </w:tc>
      </w:tr>
      <w:tr>
        <w:tc>
          <w:tcPr/>
          <w:p>
            <w:pPr>
              <w:pStyle w:val="Compact"/>
              <w:jc w:val="left"/>
            </w:pPr>
            <w:r>
              <w:t xml:space="preserve">Outbound Transport</w:t>
            </w:r>
          </w:p>
        </w:tc>
        <w:tc>
          <w:tcPr/>
          <w:p>
            <w:pPr>
              <w:pStyle w:val="Compact"/>
              <w:jc w:val="left"/>
            </w:pPr>
            <w:r>
              <w:t xml:space="preserve">Scope 3, Category 9 (Downstream Transportation &amp; Distribution)</w:t>
            </w:r>
          </w:p>
        </w:tc>
        <w:tc>
          <w:tcPr/>
          <w:p>
            <w:pPr>
              <w:pStyle w:val="Compact"/>
              <w:jc w:val="left"/>
            </w:pPr>
            <w:r>
              <w:t xml:space="preserve">0.142</w:t>
            </w:r>
          </w:p>
        </w:tc>
      </w:tr>
      <w:tr>
        <w:tc>
          <w:tcPr/>
          <w:p>
            <w:pPr>
              <w:pStyle w:val="Compact"/>
              <w:jc w:val="left"/>
            </w:pPr>
            <w:r>
              <w:t xml:space="preserve">Product Use</w:t>
            </w:r>
          </w:p>
        </w:tc>
        <w:tc>
          <w:tcPr/>
          <w:p>
            <w:pPr>
              <w:pStyle w:val="Compact"/>
              <w:jc w:val="left"/>
            </w:pPr>
            <w:r>
              <w:t xml:space="preserve">Scope 3, Category 11 (Use of Sold Products)</w:t>
            </w:r>
          </w:p>
        </w:tc>
        <w:tc>
          <w:tcPr/>
          <w:p>
            <w:pPr>
              <w:pStyle w:val="Compact"/>
              <w:jc w:val="left"/>
            </w:pPr>
            <w:r>
              <w:t xml:space="preserve">7.20</w:t>
            </w:r>
          </w:p>
        </w:tc>
      </w:tr>
      <w:tr>
        <w:tc>
          <w:tcPr/>
          <w:p>
            <w:pPr>
              <w:pStyle w:val="Compact"/>
              <w:jc w:val="left"/>
            </w:pPr>
            <w:r>
              <w:t xml:space="preserve">End-of-Life Treatment</w:t>
            </w:r>
          </w:p>
        </w:tc>
        <w:tc>
          <w:tcPr/>
          <w:p>
            <w:pPr>
              <w:pStyle w:val="Compact"/>
              <w:jc w:val="left"/>
            </w:pPr>
            <w:r>
              <w:t xml:space="preserve">Scope 3, Category 12 (End-of-Life Treatment of Sold Products)</w:t>
            </w:r>
          </w:p>
        </w:tc>
        <w:tc>
          <w:tcPr/>
          <w:p>
            <w:pPr>
              <w:pStyle w:val="Compact"/>
              <w:jc w:val="left"/>
            </w:pPr>
            <w:r>
              <w:t xml:space="preserve">0.255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14.569 ≈ 14.57</w:t>
            </w:r>
          </w:p>
        </w:tc>
      </w:tr>
    </w:tbl>
    <w:bookmarkEnd w:id="38"/>
    <w:bookmarkStart w:id="39" w:name="X46853a1f8172270e9f00252ab619f406734bbd6"/>
    <w:p>
      <w:pPr>
        <w:pStyle w:val="Heading3"/>
      </w:pPr>
      <w:r>
        <w:t xml:space="preserve">4.2. Emissions Categorization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(kgCO2e/unit)</w:t>
            </w:r>
          </w:p>
        </w:tc>
        <w:tc>
          <w:tcPr/>
          <w:p>
            <w:pPr>
              <w:pStyle w:val="Compact"/>
              <w:jc w:val="left"/>
            </w:pPr>
            <w:r>
              <w:t xml:space="preserve">Percentage of Total PCF</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 Purchased Electricity</w:t>
            </w:r>
          </w:p>
        </w:tc>
        <w:tc>
          <w:tcPr/>
          <w:p>
            <w:pPr>
              <w:pStyle w:val="Compact"/>
              <w:jc w:val="left"/>
            </w:pPr>
            <w:r>
              <w:t xml:space="preserve">0.684</w:t>
            </w:r>
          </w:p>
        </w:tc>
        <w:tc>
          <w:tcPr/>
          <w:p>
            <w:pPr>
              <w:pStyle w:val="Compact"/>
              <w:jc w:val="left"/>
            </w:pPr>
            <w:r>
              <w:t xml:space="preserve">4.7%</w:t>
            </w:r>
          </w:p>
        </w:tc>
      </w:tr>
      <w:tr>
        <w:tc>
          <w:tcPr/>
          <w:p>
            <w:pPr>
              <w:pStyle w:val="Compact"/>
              <w:jc w:val="left"/>
            </w:pPr>
            <w:r>
              <w:rPr>
                <w:bCs/>
                <w:b/>
              </w:rPr>
              <w:t xml:space="preserve">Scope 3: Value Chain Emissions</w:t>
            </w:r>
          </w:p>
        </w:tc>
        <w:tc>
          <w:tcPr/>
          <w:p>
            <w:pPr>
              <w:pStyle w:val="Compact"/>
              <w:jc w:val="left"/>
            </w:pPr>
            <w:r>
              <w:t xml:space="preserve">13.885</w:t>
            </w:r>
          </w:p>
        </w:tc>
        <w:tc>
          <w:tcPr/>
          <w:p>
            <w:pPr>
              <w:pStyle w:val="Compact"/>
              <w:jc w:val="left"/>
            </w:pPr>
            <w:r>
              <w:t xml:space="preserve">95.3%</w:t>
            </w:r>
          </w:p>
        </w:tc>
      </w:tr>
      <w:tr>
        <w:tc>
          <w:tcPr/>
          <w:p>
            <w:pPr>
              <w:pStyle w:val="Compact"/>
              <w:jc w:val="left"/>
            </w:pPr>
            <w:r>
              <w:rPr>
                <w:iCs/>
                <w:i/>
              </w:rPr>
              <w:t xml:space="preserve">Scope 3 Upstream (Materials, Inbound Transport)</w:t>
            </w:r>
          </w:p>
        </w:tc>
        <w:tc>
          <w:tcPr/>
          <w:p>
            <w:pPr>
              <w:pStyle w:val="Compact"/>
              <w:jc w:val="left"/>
            </w:pPr>
            <w:r>
              <w:t xml:space="preserve">6.10 (Materials) + 0.188 (Inbound Transport) = 6.288</w:t>
            </w:r>
          </w:p>
        </w:tc>
        <w:tc>
          <w:tcPr/>
          <w:p>
            <w:pPr>
              <w:pStyle w:val="Compact"/>
              <w:jc w:val="left"/>
            </w:pPr>
            <w:r>
              <w:t xml:space="preserve">43.2%</w:t>
            </w:r>
          </w:p>
        </w:tc>
      </w:tr>
      <w:tr>
        <w:tc>
          <w:tcPr/>
          <w:p>
            <w:pPr>
              <w:pStyle w:val="Compact"/>
              <w:jc w:val="left"/>
            </w:pPr>
            <w:r>
              <w:rPr>
                <w:iCs/>
                <w:i/>
              </w:rPr>
              <w:t xml:space="preserve">Scope 3 Downstream (Outbound Transport, Use, EoL)</w:t>
            </w:r>
          </w:p>
        </w:tc>
        <w:tc>
          <w:tcPr/>
          <w:p>
            <w:pPr>
              <w:pStyle w:val="Compact"/>
              <w:jc w:val="left"/>
            </w:pPr>
            <w:r>
              <w:t xml:space="preserve">0.142 (Outbound Transport) + 7.20 (Use) + 0.255 (EoL) = 7.597</w:t>
            </w:r>
          </w:p>
        </w:tc>
        <w:tc>
          <w:tcPr/>
          <w:p>
            <w:pPr>
              <w:pStyle w:val="Compact"/>
              <w:jc w:val="left"/>
            </w:pPr>
            <w:r>
              <w:t xml:space="preserve">52.1%</w:t>
            </w:r>
          </w:p>
        </w:tc>
      </w:tr>
      <w:tr>
        <w:tc>
          <w:tcPr/>
          <w:p>
            <w:pPr>
              <w:pStyle w:val="Compact"/>
              <w:jc w:val="left"/>
            </w:pPr>
            <w:r>
              <w:rPr>
                <w:bCs/>
                <w:b/>
              </w:rPr>
              <w:t xml:space="preserve">Total Product Carbon Footprint (PCF)</w:t>
            </w:r>
          </w:p>
        </w:tc>
        <w:tc>
          <w:tcPr/>
          <w:p>
            <w:pPr>
              <w:pStyle w:val="Compact"/>
              <w:jc w:val="left"/>
            </w:pPr>
            <w:r>
              <w:rPr>
                <w:bCs/>
                <w:b/>
              </w:rPr>
              <w:t xml:space="preserve">14.57</w:t>
            </w:r>
          </w:p>
        </w:tc>
        <w:tc>
          <w:tcPr/>
          <w:p>
            <w:pPr>
              <w:pStyle w:val="Compact"/>
              <w:jc w:val="left"/>
            </w:pPr>
            <w:r>
              <w:rPr>
                <w:bCs/>
                <w:b/>
              </w:rPr>
              <w:t xml:space="preserve">100.0%</w:t>
            </w:r>
          </w:p>
        </w:tc>
      </w:tr>
    </w:tbl>
    <w:p>
      <w:pPr>
        <w:pStyle w:val="BodyText"/>
      </w:pPr>
      <w:r>
        <w:t xml:space="preserve">This distribution highlights that Scope 3 emissions, particularly from raw materials and the use phase, constitute the largest portion of the product\'s carbon footprint, reinforcing the importance of a comprehensive value chain assessment.</w:t>
      </w:r>
    </w:p>
    <w:p>
      <w:r>
        <w:pict>
          <v:rect style="width:0;height:1.5pt" o:hralign="center" o:hrstd="t" o:hr="t"/>
        </w:pict>
      </w:r>
    </w:p>
    <w:bookmarkEnd w:id="39"/>
    <w:bookmarkEnd w:id="40"/>
    <w:bookmarkStart w:id="43" w:name="review-report---hotspots-and-reliability"/>
    <w:p>
      <w:pPr>
        <w:pStyle w:val="Heading2"/>
      </w:pPr>
      <w:r>
        <w:t xml:space="preserve">5. Review &amp; Report - Hotspots and Reliability</w:t>
      </w:r>
    </w:p>
    <w:bookmarkStart w:id="41" w:name="identification-of-hotspots"/>
    <w:p>
      <w:pPr>
        <w:pStyle w:val="Heading3"/>
      </w:pPr>
      <w:r>
        <w:t xml:space="preserve">5.1. Identification of Hotspots</w:t>
      </w:r>
    </w:p>
    <w:p>
      <w:pPr>
        <w:pStyle w:val="FirstParagraph"/>
      </w:pPr>
      <w:r>
        <w:t xml:space="preserve">The analysis reveals the following key emission hotspots for liztsosgrs:</w:t>
      </w:r>
    </w:p>
    <w:p>
      <w:pPr>
        <w:numPr>
          <w:ilvl w:val="0"/>
          <w:numId w:val="1016"/>
        </w:numPr>
        <w:pStyle w:val="Compact"/>
      </w:pPr>
      <w:r>
        <w:rPr>
          <w:bCs/>
          <w:b/>
        </w:rPr>
        <w:t xml:space="preserve">Use Phase (Scope 3 Downstream):</w:t>
      </w:r>
      <w:r>
        <w:t xml:space="preserve"> </w:t>
      </w:r>
      <w:r>
        <w:t xml:space="preserve">At approximately 7.20 kgCO2e/unit, the energy consumption during the product\'s 3-year lifespan is the single largest contributor to the PCF. This suggests that improvements in energy efficiency during operation could significantly reduce the overall footprint.</w:t>
      </w:r>
    </w:p>
    <w:p>
      <w:pPr>
        <w:numPr>
          <w:ilvl w:val="0"/>
          <w:numId w:val="1016"/>
        </w:numPr>
        <w:pStyle w:val="Compact"/>
      </w:pPr>
      <w:r>
        <w:rPr>
          <w:bCs/>
          <w:b/>
        </w:rPr>
        <w:t xml:space="preserve">Raw Material Acquisition (Scope 3 Upstream):</w:t>
      </w:r>
      <w:r>
        <w:t xml:space="preserve"> </w:t>
      </w:r>
      <w:r>
        <w:t xml:space="preserve">Materials, with a total impact of 6.10 kgCO2e/unit, represent the second largest hotspot. This emphasizes the need for sustainable material sourcing, exploring lower-carbon alternatives, and engaging suppliers in decarbonization efforts.</w:t>
      </w:r>
    </w:p>
    <w:p>
      <w:pPr>
        <w:numPr>
          <w:ilvl w:val="0"/>
          <w:numId w:val="1016"/>
        </w:numPr>
        <w:pStyle w:val="Compact"/>
      </w:pPr>
      <w:r>
        <w:rPr>
          <w:bCs/>
          <w:b/>
        </w:rPr>
        <w:t xml:space="preserve">Manufacturing Energy (Scope 2):</w:t>
      </w:r>
      <w:r>
        <w:t xml:space="preserve"> </w:t>
      </w:r>
      <w:r>
        <w:t xml:space="preserve">While a smaller percentage, the 0.684 kgCO2e/unit from purchased electricity, even with 60% renewables, indicates that further decarbonization of the energy mix in manufacturing could yield reductions. Increasing renewable energy procurement or investing in on-site renewable generation in China could further lower this impact.</w:t>
      </w:r>
    </w:p>
    <w:bookmarkEnd w:id="41"/>
    <w:bookmarkStart w:id="42" w:name="data-reliability-and-future-improvements"/>
    <w:p>
      <w:pPr>
        <w:pStyle w:val="Heading3"/>
      </w:pPr>
      <w:r>
        <w:t xml:space="preserve">5.2. Data Reliability and Future Improvements</w:t>
      </w:r>
    </w:p>
    <w:p>
      <w:pPr>
        <w:numPr>
          <w:ilvl w:val="0"/>
          <w:numId w:val="1017"/>
        </w:numPr>
        <w:pStyle w:val="Compact"/>
      </w:pPr>
      <w:r>
        <w:t xml:space="preserve">The calculations in this report are based on a mix of provided specific (albeit illustrative placeholder) data and industry-average emission factors (e.g., from DEFRA for transport and average grid factors for China).</w:t>
      </w:r>
    </w:p>
    <w:p>
      <w:pPr>
        <w:numPr>
          <w:ilvl w:val="0"/>
          <w:numId w:val="1017"/>
        </w:numPr>
        <w:pStyle w:val="Compact"/>
      </w:pPr>
      <w:r>
        <w:t xml:space="preserve">To enhance reliability, future analyses should prioritize collecting primary data for all BOM items, precise transport routes and modes, and actual energy mix data from manufacturing facilities.</w:t>
      </w:r>
    </w:p>
    <w:p>
      <w:pPr>
        <w:numPr>
          <w:ilvl w:val="0"/>
          <w:numId w:val="1017"/>
        </w:numPr>
        <w:pStyle w:val="Compact"/>
      </w:pPr>
      <w:r>
        <w:t xml:space="preserve">Engagement with suppliers is crucial to obtain specific emission factors for purchased goods and services, improving the accuracy of Scope 3 upstream reporting and moving towards the proposed 95% coverage target for Scope 3.</w:t>
      </w:r>
    </w:p>
    <w:p>
      <w:pPr>
        <w:numPr>
          <w:ilvl w:val="0"/>
          <w:numId w:val="1017"/>
        </w:numPr>
        <w:pStyle w:val="Compact"/>
      </w:pPr>
      <w:r>
        <w:t xml:space="preserve">Further investigation into land-use impacts of raw material extraction, guided by the principles of the 2026 GHG Protocol Land Sector and Removals (LSR) Standard, would be beneficial if relevant to specific material categories.</w:t>
      </w:r>
    </w:p>
    <w:p>
      <w:r>
        <w:pict>
          <v:rect style="width:0;height:1.5pt" o:hralign="center" o:hrstd="t" o:hr="t"/>
        </w:pict>
      </w:r>
    </w:p>
    <w:bookmarkEnd w:id="42"/>
    <w:bookmarkEnd w:id="43"/>
    <w:bookmarkStart w:id="45" w:name="conclusion-and-recommendations"/>
    <w:p>
      <w:pPr>
        <w:pStyle w:val="Heading2"/>
      </w:pPr>
      <w:r>
        <w:t xml:space="preserve">Conclusion and Recommendations</w:t>
      </w:r>
    </w:p>
    <w:p>
      <w:pPr>
        <w:pStyle w:val="FirstParagraph"/>
      </w:pPr>
      <w:r>
        <w:t xml:space="preserve">The Product Carbon Footprint for liztsosgrs is approximately 14.57 kg CO2e per functional unit. The primary drivers of this footprint are the energy consumed during the product\'s use phase and the embodied emissions in its raw materials. ygforxivpj is encouraged to focus on these areas for significant emission reductions.</w:t>
      </w:r>
    </w:p>
    <w:bookmarkStart w:id="44" w:name="recommendations"/>
    <w:p>
      <w:pPr>
        <w:pStyle w:val="Heading3"/>
      </w:pPr>
      <w:r>
        <w:t xml:space="preserve">Recommendations:</w:t>
      </w:r>
    </w:p>
    <w:p>
      <w:pPr>
        <w:numPr>
          <w:ilvl w:val="0"/>
          <w:numId w:val="1018"/>
        </w:numPr>
        <w:pStyle w:val="Compact"/>
      </w:pPr>
      <w:r>
        <w:rPr>
          <w:bCs/>
          <w:b/>
        </w:rPr>
        <w:t xml:space="preserve">Product Design for Energy Efficiency:</w:t>
      </w:r>
      <w:r>
        <w:t xml:space="preserve"> </w:t>
      </w:r>
      <w:r>
        <w:t xml:space="preserve">Prioritize design improvements to reduce energy consumption during the product\'s use phase.</w:t>
      </w:r>
    </w:p>
    <w:p>
      <w:pPr>
        <w:numPr>
          <w:ilvl w:val="0"/>
          <w:numId w:val="1018"/>
        </w:numPr>
        <w:pStyle w:val="Compact"/>
      </w:pPr>
      <w:r>
        <w:rPr>
          <w:bCs/>
          <w:b/>
        </w:rPr>
        <w:t xml:space="preserve">Sustainable Sourcing:</w:t>
      </w:r>
      <w:r>
        <w:t xml:space="preserve"> </w:t>
      </w:r>
      <w:r>
        <w:t xml:space="preserve">Explore and prioritize suppliers offering materials with lower embodied carbon, potentially through recycled content or less carbon-intensive manufacturing processes.</w:t>
      </w:r>
    </w:p>
    <w:p>
      <w:pPr>
        <w:numPr>
          <w:ilvl w:val="0"/>
          <w:numId w:val="1018"/>
        </w:numPr>
        <w:pStyle w:val="Compact"/>
      </w:pPr>
      <w:r>
        <w:rPr>
          <w:bCs/>
          <w:b/>
        </w:rPr>
        <w:t xml:space="preserve">Renewable Energy Transition:</w:t>
      </w:r>
      <w:r>
        <w:t xml:space="preserve"> </w:t>
      </w:r>
      <w:r>
        <w:t xml:space="preserve">Continue and accelerate the transition to 100% renewable electricity for manufacturing operations in China.</w:t>
      </w:r>
    </w:p>
    <w:p>
      <w:pPr>
        <w:numPr>
          <w:ilvl w:val="0"/>
          <w:numId w:val="1018"/>
        </w:numPr>
        <w:pStyle w:val="Compact"/>
      </w:pPr>
      <w:r>
        <w:rPr>
          <w:bCs/>
          <w:b/>
        </w:rPr>
        <w:t xml:space="preserve">Logistics Optimization:</w:t>
      </w:r>
      <w:r>
        <w:t xml:space="preserve"> </w:t>
      </w:r>
      <w:r>
        <w:t xml:space="preserve">Optimize transportation routes, modes, and load factors to minimize emissions from both inbound and outbound logistics.</w:t>
      </w:r>
    </w:p>
    <w:p>
      <w:pPr>
        <w:numPr>
          <w:ilvl w:val="0"/>
          <w:numId w:val="1018"/>
        </w:numPr>
        <w:pStyle w:val="Compact"/>
      </w:pPr>
      <w:r>
        <w:rPr>
          <w:bCs/>
          <w:b/>
        </w:rPr>
        <w:t xml:space="preserve">Circular Economy Initiatives:</w:t>
      </w:r>
      <w:r>
        <w:t xml:space="preserve"> </w:t>
      </w:r>
      <w:r>
        <w:t xml:space="preserve">Enhance existing circular programs and recyclability features to further reduce end-of-life impacts and explore opportunities for material recovery and reuse.</w:t>
      </w:r>
    </w:p>
    <w:p>
      <w:pPr>
        <w:numPr>
          <w:ilvl w:val="0"/>
          <w:numId w:val="1018"/>
        </w:numPr>
        <w:pStyle w:val="Compact"/>
      </w:pPr>
      <w:r>
        <w:rPr>
          <w:bCs/>
          <w:b/>
        </w:rPr>
        <w:t xml:space="preserve">Data Granularity:</w:t>
      </w:r>
      <w:r>
        <w:t xml:space="preserve"> </w:t>
      </w:r>
      <w:r>
        <w:t xml:space="preserve">Invest in collecting more primary data across the value chain to refine PCF calculations and ensure compliance with evolving GHG Protocol reporting requirements, including the proposed 95% Scope 3 coverage.</w:t>
      </w:r>
    </w:p>
    <w:p>
      <w:r>
        <w:pict>
          <v:rect style="width:0;height:1.5pt" o:hralign="center" o:hrstd="t" o:hr="t"/>
        </w:pict>
      </w:r>
    </w:p>
    <w:p>
      <w:pPr>
        <w:pStyle w:val="FirstParagraph"/>
      </w:pPr>
      <w:r>
        <w:t xml:space="preserve">Confidential - Internal Use Only | Generated by qkirzvgiim, Senior Sustainability Consultant</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liztsosgrs</dc:title>
  <dc:creator/>
  <dc:description>High-detail Product Carbon Footprint (PCF) analysis for liztsosgrs, performed by Senior Sustainability Consultant qkirzvgiim following GHG Protocol standards. This report adheres to the latest 2026 GHG Protocol updates including the Land Sector and Removals (LSR) Standard and proposed Scope 3 coverage requirements.</dc:description>
  <dc:language>en</dc:language>
  <cp:keywords/>
  <dcterms:created xsi:type="dcterms:W3CDTF">2026-05-30T20:12:33Z</dcterms:created>
  <dcterms:modified xsi:type="dcterms:W3CDTF">2026-05-30T20:12:33Z</dcterms:modified>
</cp:coreProperties>
</file>

<file path=docProps/custom.xml><?xml version="1.0" encoding="utf-8"?>
<Properties xmlns="http://schemas.openxmlformats.org/officeDocument/2006/custom-properties" xmlns:vt="http://schemas.openxmlformats.org/officeDocument/2006/docPropsVTypes"/>
</file>