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liqndqfxxd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t xml:space="preserve">liqndqfxxd</w:t>
      </w:r>
    </w:p>
    <w:p>
      <w:pPr>
        <w:pStyle w:val="BodyText"/>
      </w:pPr>
      <w:r>
        <w:rPr>
          <w:bCs/>
          <w:b/>
        </w:rPr>
        <w:t xml:space="preserve">Company Name:</w:t>
      </w:r>
      <w:r>
        <w:t xml:space="preserve"> </w:t>
      </w:r>
      <w:r>
        <w:t xml:space="preserve">gryesjohkm</w:t>
      </w:r>
    </w:p>
    <w:p>
      <w:pPr>
        <w:pStyle w:val="BodyText"/>
      </w:pPr>
      <w:r>
        <w:rPr>
          <w:bCs/>
          <w:b/>
        </w:rPr>
        <w:t xml:space="preserve">Senior Sustainability Consultant:</w:t>
      </w:r>
      <w:r>
        <w:t xml:space="preserve"> </w:t>
      </w:r>
      <w:r>
        <w:t xml:space="preserve">rtgdqyqxlz</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Actual emissions may vary based on specific operational details and evolving data.</w:t>
      </w:r>
    </w:p>
    <w:bookmarkEnd w:id="20"/>
    <w:bookmarkStart w:id="21" w:name="X643e9cc0c19b0aa863ecfdf646ecac2cd79ca51"/>
    <w:p>
      <w:pPr>
        <w:pStyle w:val="Heading1"/>
      </w:pPr>
      <w:r>
        <w:t xml:space="preserve">Product Carbon Footprint Report: liqndqfxxd</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rtgdqyqxlz</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t xml:space="preserve">liqndqfxxd</w:t>
      </w:r>
      <w:r>
        <w:t xml:space="preserve"> </w:t>
      </w:r>
      <w:r>
        <w:t xml:space="preserve">manufactured by</w:t>
      </w:r>
      <w:r>
        <w:t xml:space="preserve"> </w:t>
      </w:r>
      <w:r>
        <w:t xml:space="preserve">gryesjohkm</w:t>
      </w:r>
      <w:r>
        <w:t xml:space="preserve">. Conducted by Senior Sustainability Consultant</w:t>
      </w:r>
      <w:r>
        <w:t xml:space="preserve"> </w:t>
      </w:r>
      <w:r>
        <w:t xml:space="preserve">rtgdqyqxlz</w:t>
      </w:r>
      <w:r>
        <w:t xml:space="preserve">, this analysis strictly adheres to the</w:t>
      </w:r>
      <w:r>
        <w:t xml:space="preserve"> </w:t>
      </w:r>
      <w:r>
        <w:t xml:space="preserve">GHG Protocol</w:t>
      </w:r>
      <w:r>
        <w:t xml:space="preserve"> </w:t>
      </w:r>
      <w:r>
        <w:t xml:space="preserve">standards, incorporating the upcoming 2026 Land Sector and Removals (LSR) Standard and ensuring at least 95% coverage for Scope 3 emissions. The assessment identifies key emission hotspots across the product\'s lifecycle, from material sourcing and production to use and end-of-life, providing a comprehensive overview of its environmental impact.</w:t>
      </w:r>
    </w:p>
    <w:bookmarkEnd w:id="22"/>
    <w:bookmarkStart w:id="27"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t xml:space="preserve">liqndqfxxd</w:t>
      </w:r>
      <w:r>
        <w:t xml:space="preserve"> </w:t>
      </w:r>
      <w:r>
        <w:t xml:space="preserve">follows a robust, five-step methodology in accordance with the GHG Protocol Product Standard.</w:t>
      </w:r>
    </w:p>
    <w:bookmarkStart w:id="23" w:name="functional-unit"/>
    <w:p>
      <w:pPr>
        <w:pStyle w:val="Heading3"/>
      </w:pPr>
      <w:r>
        <w:t xml:space="preserve">2.1. Functional Unit</w:t>
      </w:r>
    </w:p>
    <w:p>
      <w:pPr>
        <w:numPr>
          <w:ilvl w:val="0"/>
          <w:numId w:val="1001"/>
        </w:numPr>
        <w:pStyle w:val="Compact"/>
      </w:pPr>
      <w:r>
        <w:t xml:space="preserve">The defined functional unit for this analysis is</w:t>
      </w:r>
      <w:r>
        <w:t xml:space="preserve"> </w:t>
      </w:r>
      <w:r>
        <w:t xml:space="preserve">1.0 unit</w:t>
      </w:r>
      <w:r>
        <w:t xml:space="preserve"> </w:t>
      </w:r>
      <w:r>
        <w:t xml:space="preserve">of liqndqfxxd. This serves as the reference basis for all quantified environmental impacts.</w:t>
      </w:r>
    </w:p>
    <w:bookmarkEnd w:id="23"/>
    <w:bookmarkStart w:id="24" w:name="system-boundary"/>
    <w:p>
      <w:pPr>
        <w:pStyle w:val="Heading3"/>
      </w:pPr>
      <w:r>
        <w:t xml:space="preserve">2.2. System Boundary</w:t>
      </w:r>
    </w:p>
    <w:p>
      <w:pPr>
        <w:numPr>
          <w:ilvl w:val="0"/>
          <w:numId w:val="1002"/>
        </w:numPr>
        <w:pStyle w:val="Compact"/>
      </w:pPr>
      <w:r>
        <w:t xml:space="preserve">The system boundary is set as</w:t>
      </w:r>
      <w:r>
        <w:t xml:space="preserve"> </w:t>
      </w:r>
      <w:r>
        <w:t xml:space="preserve">factory_gate</w:t>
      </w:r>
      <w:r>
        <w:t xml:space="preserve">, encompassing all processes from raw material extraction (cradle) up to the point the finished product leaves the manufacturing facility. This includes material acquisition, manufacturing, and associated transportation to the factory gate. For a comprehensive PCF, downstream stages (transport to customer, use phase, and end-of-life) are also explicitly included and analyzed.</w:t>
      </w:r>
    </w:p>
    <w:bookmarkEnd w:id="24"/>
    <w:bookmarkStart w:id="25" w:name="geographic-scope"/>
    <w:p>
      <w:pPr>
        <w:pStyle w:val="Heading3"/>
      </w:pPr>
      <w:r>
        <w:t xml:space="preserve">2.3. Geographic Scope</w:t>
      </w:r>
    </w:p>
    <w:p>
      <w:pPr>
        <w:numPr>
          <w:ilvl w:val="0"/>
          <w:numId w:val="1003"/>
        </w:numPr>
        <w:pStyle w:val="Compact"/>
      </w:pPr>
      <w:r>
        <w:t xml:space="preserve">Final Production Country: China</w:t>
      </w:r>
      <w:r>
        <w:t xml:space="preserve"> </w:t>
      </w:r>
      <w:r>
        <w:t xml:space="preserve">– Production-related emissions, particularly electricity consumption, are modeled using China\'s national grid mix.</w:t>
      </w:r>
    </w:p>
    <w:p>
      <w:pPr>
        <w:numPr>
          <w:ilvl w:val="0"/>
          <w:numId w:val="1003"/>
        </w:numPr>
        <w:pStyle w:val="Compact"/>
      </w:pPr>
      <w:r>
        <w:t xml:space="preserve">Supply Chain Focus: Europe Focused</w:t>
      </w:r>
      <w:r>
        <w:t xml:space="preserve"> </w:t>
      </w:r>
      <w:r>
        <w:t xml:space="preserve">– Transportation and distribution within the supply chain are assessed based on European logistics networks and emission factors. The product\'s use phase is also assumed to primarily occur in Europe.</w:t>
      </w:r>
    </w:p>
    <w:bookmarkEnd w:id="25"/>
    <w:bookmarkStart w:id="26" w:name="accounting-standard"/>
    <w:p>
      <w:pPr>
        <w:pStyle w:val="Heading3"/>
      </w:pPr>
      <w:r>
        <w:t xml:space="preserve">2.4. Accounting Standard</w:t>
      </w:r>
    </w:p>
    <w:p>
      <w:pPr>
        <w:numPr>
          <w:ilvl w:val="0"/>
          <w:numId w:val="1004"/>
        </w:numPr>
        <w:pStyle w:val="Compact"/>
      </w:pPr>
      <w:r>
        <w:t xml:space="preserve">This analysis strictly adheres to the</w:t>
      </w:r>
      <w:r>
        <w:t xml:space="preserve"> </w:t>
      </w:r>
      <w:r>
        <w:t xml:space="preserve">GHG Protocol Product Life Cycle Accounting and Reporting Standard</w:t>
      </w:r>
      <w:r>
        <w:t xml:space="preserve">. Emissions are categorized into Scope 1 (direct), Scope 2 (purchased energy), and Scope 3 (value chain) to ensure comprehensive reporting.</w:t>
      </w:r>
    </w:p>
    <w:p>
      <w:pPr>
        <w:numPr>
          <w:ilvl w:val="0"/>
          <w:numId w:val="1004"/>
        </w:numPr>
        <w:pStyle w:val="Compact"/>
      </w:pPr>
      <w:r>
        <w:t xml:space="preserve">2026 LSR Update:</w:t>
      </w:r>
      <w:r>
        <w:t xml:space="preserve"> </w:t>
      </w:r>
      <w:r>
        <w:t xml:space="preserve">The Land Sector and Removals (LSR) Standard is applied for land use change and carbon removals where relevant, providing a more holistic view of biogenic carbon impacts.</w:t>
      </w:r>
    </w:p>
    <w:p>
      <w:pPr>
        <w:numPr>
          <w:ilvl w:val="0"/>
          <w:numId w:val="1004"/>
        </w:numPr>
        <w:pStyle w:val="Compact"/>
      </w:pPr>
      <w:r>
        <w:t xml:space="preserve">Scope 3 Compliance:</w:t>
      </w:r>
      <w:r>
        <w:t xml:space="preserve"> </w:t>
      </w:r>
      <w:r>
        <w:t xml:space="preserve">A rigorous effort has been made to ensure at least 95% coverage for Scope 3 reporting, in line with 2026 requirements, capturing significant upstream and downstream emissions.</w:t>
      </w:r>
    </w:p>
    <w:bookmarkEnd w:id="26"/>
    <w:bookmarkEnd w:id="27"/>
    <w:bookmarkStart w:id="33"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and mapped across the product\'s lifecycle stages.</w:t>
      </w:r>
    </w:p>
    <w:bookmarkStart w:id="28" w:name="bill-of-materials-bom-for-liqndqfxxd"/>
    <w:p>
      <w:pPr>
        <w:pStyle w:val="Heading3"/>
      </w:pPr>
      <w:r>
        <w:t xml:space="preserve">3.1. Bill of Materials (BOM) for liqndqfxxd</w:t>
      </w:r>
    </w:p>
    <w:p>
      <w:pPr>
        <w:pStyle w:val="FirstParagraph"/>
      </w:pPr>
      <w:r>
        <w:t xml:space="preserve">The detailed Bill of Materials (</w:t>
      </w:r>
      <w:r>
        <w:t xml:space="preserve">hfsqskdz</w:t>
      </w:r>
      <w:r>
        <w:t xml:space="preserve">) has been utilized for high-accuracy material impact calculation. The \'Total Carbon\' values provided for each item are directly used for material acquisition and processing emissions.</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rPr>
          <w:bCs/>
          <w:b/>
        </w:rPr>
        <w:t xml:space="preserve">Total Material Acquisition &amp; Processing Emissions (Scope 3 - Upstream):</w:t>
      </w:r>
      <w:r>
        <w:t xml:space="preserve"> </w:t>
      </w:r>
    </w:p>
    <w:p>
      <w:pPr>
        <w:pStyle w:val="BodyText"/>
      </w:pPr>
      <w:r>
        <w:t xml:space="preserve">kg CO2e</w:t>
      </w:r>
    </w:p>
    <w:p>
      <w:pPr>
        <w:pStyle w:val="BodyText"/>
      </w:pPr>
      <w:r>
        <w:rPr>
          <w:bCs/>
          <w:b/>
        </w:rPr>
        <w:t xml:space="preserve">Estimated Total Product Weight for Transport/EoL:</w:t>
      </w:r>
      <w:r>
        <w:t xml:space="preserve"> </w:t>
      </w:r>
    </w:p>
    <w:p>
      <w:pPr>
        <w:pStyle w:val="BodyText"/>
      </w:pPr>
      <w:r>
        <w:t xml:space="preserve">kg (Note: Assumed weights for \'unit\' items have been applied for consistency in physical calculations).</w:t>
      </w:r>
    </w:p>
    <w:bookmarkEnd w:id="28"/>
    <w:bookmarkStart w:id="29" w:name="production-energy-inputs"/>
    <w:p>
      <w:pPr>
        <w:pStyle w:val="Heading3"/>
      </w:pPr>
      <w:r>
        <w:t xml:space="preserve">3.2. Production Energy Inputs</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Energy Intensity (kWh/unit):</w:t>
      </w:r>
      <w:r>
        <w:t xml:space="preserve"> </w:t>
      </w:r>
      <w:r>
        <w:t xml:space="preserve">ppvloyhqeg</w:t>
      </w:r>
      <w:r>
        <w:t xml:space="preserve"> </w:t>
      </w:r>
      <w:r>
        <w:t xml:space="preserve">kWh/unit</w:t>
      </w:r>
    </w:p>
    <w:p>
      <w:pPr>
        <w:numPr>
          <w:ilvl w:val="0"/>
          <w:numId w:val="1005"/>
        </w:numPr>
        <w:pStyle w:val="Compact"/>
      </w:pPr>
      <w:r>
        <w:rPr>
          <w:bCs/>
          <w:b/>
        </w:rPr>
        <w:t xml:space="preserve">Renewable Energy Usage:</w:t>
      </w:r>
      <w:r>
        <w:t xml:space="preserve"> </w:t>
      </w:r>
      <w:r>
        <w:t xml:space="preserve">tyjvhtnkgd</w:t>
      </w:r>
      <w:r>
        <w:t xml:space="preserve">% (Applied as a reduction to grid electricity emissions)</w:t>
      </w:r>
    </w:p>
    <w:p>
      <w:pPr>
        <w:numPr>
          <w:ilvl w:val="0"/>
          <w:numId w:val="1005"/>
        </w:numPr>
        <w:pStyle w:val="Compact"/>
      </w:pPr>
      <w:r>
        <w:rPr>
          <w:bCs/>
          <w:b/>
        </w:rPr>
        <w:t xml:space="preserve">China Grid Electricity Emission Factor:</w:t>
      </w:r>
      <w:r>
        <w:t xml:space="preserve"> </w:t>
      </w:r>
      <w:r>
        <w:t xml:space="preserve">0.6205 kgCO2e/kWh (2023 national average)</w:t>
      </w:r>
    </w:p>
    <w:bookmarkEnd w:id="29"/>
    <w:bookmarkStart w:id="30" w:name="logistics-data"/>
    <w:p>
      <w:pPr>
        <w:pStyle w:val="Heading3"/>
      </w:pPr>
      <w:r>
        <w:t xml:space="preserve">3.3. Logistics Data</w:t>
      </w:r>
    </w:p>
    <w:p>
      <w:pPr>
        <w:numPr>
          <w:ilvl w:val="0"/>
          <w:numId w:val="1006"/>
        </w:numPr>
        <w:pStyle w:val="Compact"/>
      </w:pPr>
      <w:r>
        <w:rPr>
          <w:bCs/>
          <w:b/>
        </w:rPr>
        <w:t xml:space="preserve">Primary Transport Mode:</w:t>
      </w:r>
      <w:r>
        <w:t xml:space="preserve"> </w:t>
      </w:r>
      <w:r>
        <w:t xml:space="preserve">Road freight (Heavy Duty Truck)</w:t>
      </w:r>
      <w:r>
        <w:t xml:space="preserve"> </w:t>
      </w:r>
      <w:r>
        <w:t xml:space="preserve">(Assumed, as \'Select Mode\' was provided).</w:t>
      </w:r>
    </w:p>
    <w:p>
      <w:pPr>
        <w:numPr>
          <w:ilvl w:val="0"/>
          <w:numId w:val="1006"/>
        </w:numPr>
        <w:pStyle w:val="Compact"/>
      </w:pPr>
      <w:r>
        <w:rPr>
          <w:bCs/>
          <w:b/>
        </w:rPr>
        <w:t xml:space="preserve">Primary Transport Distance:</w:t>
      </w:r>
      <w:r>
        <w:t xml:space="preserve"> </w:t>
      </w:r>
      <w:r>
        <w:t xml:space="preserve">kwqphdeeqx</w:t>
      </w:r>
      <w:r>
        <w:t xml:space="preserve"> </w:t>
      </w:r>
      <w:r>
        <w:t xml:space="preserve">km</w:t>
      </w:r>
    </w:p>
    <w:p>
      <w:pPr>
        <w:numPr>
          <w:ilvl w:val="0"/>
          <w:numId w:val="1006"/>
        </w:numPr>
        <w:pStyle w:val="Compact"/>
      </w:pPr>
      <w:r>
        <w:rPr>
          <w:bCs/>
          <w:b/>
        </w:rPr>
        <w:t xml:space="preserve">Last-Mile Delivery Channel:</w:t>
      </w:r>
      <w:r>
        <w:t xml:space="preserve"> </w:t>
      </w:r>
      <w:r>
        <w:t xml:space="preserve">Courier Van</w:t>
      </w:r>
      <w:r>
        <w:t xml:space="preserve"> </w:t>
      </w:r>
      <w:r>
        <w:t xml:space="preserve">(Assumed, as \'Delivery Type\' was provided).</w:t>
      </w:r>
    </w:p>
    <w:p>
      <w:pPr>
        <w:numPr>
          <w:ilvl w:val="0"/>
          <w:numId w:val="1006"/>
        </w:numPr>
        <w:pStyle w:val="Compact"/>
      </w:pPr>
      <w:r>
        <w:rPr>
          <w:bCs/>
          <w:b/>
        </w:rPr>
        <w:t xml:space="preserve">Last-Mile Delivery Distance (Assumed):</w:t>
      </w:r>
      <w:r>
        <w:t xml:space="preserve"> </w:t>
      </w:r>
      <w:r>
        <w:t xml:space="preserve">50 km</w:t>
      </w:r>
    </w:p>
    <w:p>
      <w:pPr>
        <w:numPr>
          <w:ilvl w:val="0"/>
          <w:numId w:val="1006"/>
        </w:numPr>
        <w:pStyle w:val="Compact"/>
      </w:pPr>
      <w:r>
        <w:rPr>
          <w:bCs/>
          <w:b/>
        </w:rPr>
        <w:t xml:space="preserve">Road Freight Emission Factor (Europe, Heavy Duty Truck):</w:t>
      </w:r>
      <w:r>
        <w:t xml:space="preserve"> </w:t>
      </w:r>
      <w:r>
        <w:t xml:space="preserve">0.062 kgCO2e/tkm (McKinnon average)</w:t>
      </w:r>
    </w:p>
    <w:p>
      <w:pPr>
        <w:numPr>
          <w:ilvl w:val="0"/>
          <w:numId w:val="1006"/>
        </w:numPr>
        <w:pStyle w:val="Compact"/>
      </w:pPr>
      <w:r>
        <w:rPr>
          <w:bCs/>
          <w:b/>
        </w:rPr>
        <w:t xml:space="preserve">Courier Van Emission Factor (Assumed):</w:t>
      </w:r>
      <w:r>
        <w:t xml:space="preserve"> </w:t>
      </w:r>
      <w:r>
        <w:t xml:space="preserve">0.2 kgCO2e/km (Illustrative average)</w:t>
      </w:r>
    </w:p>
    <w:bookmarkEnd w:id="30"/>
    <w:bookmarkStart w:id="31"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mjsyznlxqi</w:t>
      </w:r>
      <w:r>
        <w:t xml:space="preserve"> </w:t>
      </w:r>
      <w:r>
        <w:t xml:space="preserve">years (Assumed, if unit not specified)</w:t>
      </w:r>
    </w:p>
    <w:p>
      <w:pPr>
        <w:numPr>
          <w:ilvl w:val="0"/>
          <w:numId w:val="1007"/>
        </w:numPr>
        <w:pStyle w:val="Compact"/>
      </w:pPr>
      <w:r>
        <w:rPr>
          <w:bCs/>
          <w:b/>
        </w:rPr>
        <w:t xml:space="preserve">Energy Consumption in Use:</w:t>
      </w:r>
      <w:r>
        <w:t xml:space="preserve"> </w:t>
      </w:r>
      <w:r>
        <w:t xml:space="preserve">hgdxumgqxi</w:t>
      </w:r>
      <w:r>
        <w:t xml:space="preserve"> </w:t>
      </w:r>
      <w:r>
        <w:t xml:space="preserve">kWh/year (Assumed, if unit not specified)</w:t>
      </w:r>
    </w:p>
    <w:p>
      <w:pPr>
        <w:numPr>
          <w:ilvl w:val="0"/>
          <w:numId w:val="1007"/>
        </w:numPr>
        <w:pStyle w:val="Compact"/>
      </w:pPr>
      <w:r>
        <w:rPr>
          <w:bCs/>
          <w:b/>
        </w:rPr>
        <w:t xml:space="preserve">Europe Grid Electricity Emission Factor:</w:t>
      </w:r>
      <w:r>
        <w:t xml:space="preserve"> </w:t>
      </w:r>
      <w:r>
        <w:t xml:space="preserve">0.238 kgCO2e/kWh (2019 EU average)</w:t>
      </w:r>
    </w:p>
    <w:bookmarkEnd w:id="31"/>
    <w:bookmarkStart w:id="32"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jsqtylywiz</w:t>
      </w:r>
      <w:r>
        <w:t xml:space="preserve">%</w:t>
      </w:r>
    </w:p>
    <w:p>
      <w:pPr>
        <w:numPr>
          <w:ilvl w:val="0"/>
          <w:numId w:val="1008"/>
        </w:numPr>
        <w:pStyle w:val="Compact"/>
      </w:pPr>
      <w:r>
        <w:rPr>
          <w:bCs/>
          <w:b/>
        </w:rPr>
        <w:t xml:space="preserve">Circular/Take-back Programs:</w:t>
      </w:r>
      <w:r>
        <w:t xml:space="preserve"> </w:t>
      </w:r>
      <w:r>
        <w:t xml:space="preserve">fkronjetlr</w:t>
      </w:r>
    </w:p>
    <w:p>
      <w:pPr>
        <w:numPr>
          <w:ilvl w:val="0"/>
          <w:numId w:val="1008"/>
        </w:numPr>
        <w:pStyle w:val="Compact"/>
      </w:pPr>
      <w:r>
        <w:rPr>
          <w:bCs/>
          <w:b/>
        </w:rPr>
        <w:t xml:space="preserve">Landfill Emission Factor (Mixed Waste):</w:t>
      </w:r>
      <w:r>
        <w:t xml:space="preserve"> </w:t>
      </w:r>
      <w:r>
        <w:t xml:space="preserve">0.3 kgCO2e/kg (Conventional landfilling)</w:t>
      </w:r>
    </w:p>
    <w:p>
      <w:pPr>
        <w:numPr>
          <w:ilvl w:val="0"/>
          <w:numId w:val="1008"/>
        </w:numPr>
        <w:pStyle w:val="Compact"/>
      </w:pPr>
      <w:r>
        <w:rPr>
          <w:bCs/>
          <w:b/>
        </w:rPr>
        <w:t xml:space="preserve">Generic Recycling Credit (Avoided Emissions):</w:t>
      </w:r>
      <w:r>
        <w:t xml:space="preserve"> </w:t>
      </w:r>
      <w:r>
        <w:t xml:space="preserve">-1.0 kgCO2e/kg (Illustrative average, for material displacing virgin production)</w:t>
      </w:r>
    </w:p>
    <w:p>
      <w:pPr>
        <w:pStyle w:val="FirstParagraph"/>
      </w:pPr>
      <w:r>
        <w:rPr>
          <w:iCs/>
          <w:i/>
        </w:rPr>
        <w:t xml:space="preserve">Note: All emission factors cited above are based on industry-standard averages (e.g., from Ecoinvent/DEFRA equivalents) for the purpose of this analysis, acknowledging potential variations based on specific regional or technological details.</w:t>
      </w:r>
    </w:p>
    <w:bookmarkEnd w:id="32"/>
    <w:bookmarkEnd w:id="33"/>
    <w:bookmarkStart w:id="36" w:name="Xdd0f433185fde5fd9508eee9e1e7bcaa542b608"/>
    <w:p>
      <w:pPr>
        <w:pStyle w:val="Heading2"/>
      </w:pPr>
      <w:r>
        <w:t xml:space="preserve">4. Emission Calculation and GHG Protocol Categorization</w:t>
      </w:r>
    </w:p>
    <w:bookmarkStart w:id="34" w:name="calculations"/>
    <w:p>
      <w:pPr>
        <w:pStyle w:val="Heading3"/>
      </w:pPr>
      <w:r>
        <w:t xml:space="preserve">4.1. Calculations</w:t>
      </w:r>
    </w:p>
    <w:bookmarkEnd w:id="34"/>
    <w:bookmarkStart w:id="35" w:name="X4914203d000518f60d412b268b2704c1297fc40"/>
    <w:p>
      <w:pPr>
        <w:pStyle w:val="Heading3"/>
      </w:pPr>
      <w:r>
        <w:t xml:space="preserve">4.2. Emission Hotspots &amp; GHG Protocol Categorization</w:t>
      </w:r>
    </w:p>
    <w:p>
      <w:pPr>
        <w:pStyle w:val="FirstParagraph"/>
      </w:pPr>
      <w:r>
        <w:t xml:space="preserve">The total Product Carbon Footprint for</w:t>
      </w:r>
      <w:r>
        <w:t xml:space="preserve"> </w:t>
      </w:r>
      <w:r>
        <w:t xml:space="preserve">liqndqfxxd</w:t>
      </w:r>
      <w:r>
        <w:t xml:space="preserve"> </w:t>
      </w:r>
      <w:r>
        <w:t xml:space="preserve">is calculated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pP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pP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pPr>
          </w:p>
        </w:tc>
      </w:tr>
      <w:tr>
        <w:tc>
          <w:tcPr/>
          <w:p>
            <w:pPr>
              <w:pStyle w:val="Compact"/>
              <w:jc w:val="left"/>
            </w:pPr>
            <w:r>
              <w:rPr>
                <w:bCs/>
                <w:b/>
              </w:rPr>
              <w:t xml:space="preserve">TOTAL PRODUCT CARBON FOOTPRINT</w:t>
            </w:r>
          </w:p>
        </w:tc>
        <w:tc>
          <w:tcPr/>
          <w:p>
            <w:pPr>
              <w:pStyle w:val="Compact"/>
            </w:pPr>
          </w:p>
        </w:tc>
        <w:tc>
          <w:tcPr/>
          <w:p>
            <w:pPr>
              <w:pStyle w:val="Compact"/>
              <w:jc w:val="left"/>
            </w:pPr>
          </w:p>
        </w:tc>
      </w:tr>
    </w:tbl>
    <w:p>
      <w:pPr>
        <w:pStyle w:val="BodyText"/>
      </w:pPr>
      <w:r>
        <w:rPr>
          <w:bCs/>
          <w:b/>
        </w:rPr>
        <w:t xml:space="preserve">Breakdown by GHG Scope:</w:t>
      </w:r>
    </w:p>
    <w:p>
      <w:pPr>
        <w:numPr>
          <w:ilvl w:val="0"/>
          <w:numId w:val="1009"/>
        </w:numPr>
        <w:pStyle w:val="Compact"/>
      </w:pPr>
      <w:r>
        <w:rPr>
          <w:bCs/>
          <w:b/>
        </w:rPr>
        <w:t xml:space="preserve">Scope 1 (Direct Emissions):</w:t>
      </w:r>
      <w:r>
        <w:t xml:space="preserve"> </w:t>
      </w:r>
      <w:r>
        <w:t xml:space="preserve">0.00 kg CO2e (No direct operational emissions from gryesjohkm for this product\'s lifecycle were explicitly provided or calculated.)</w:t>
      </w:r>
    </w:p>
    <w:p>
      <w:pPr>
        <w:numPr>
          <w:ilvl w:val="0"/>
          <w:numId w:val="1009"/>
        </w:numPr>
        <w:pStyle w:val="Compact"/>
      </w:pPr>
      <w:r>
        <w:rPr>
          <w:bCs/>
          <w:b/>
        </w:rPr>
        <w:t xml:space="preserve">Scope 2 (Purchased Energy Emissions):</w:t>
      </w:r>
      <w:r>
        <w:t xml:space="preserve"> </w:t>
      </w:r>
    </w:p>
    <w:p>
      <w:pPr>
        <w:numPr>
          <w:ilvl w:val="0"/>
          <w:numId w:val="1000"/>
        </w:numPr>
        <w:pStyle w:val="Compact"/>
      </w:pPr>
      <w:r>
        <w:t xml:space="preserve">kg CO2e (Primarily from electricity consumption in the China production facility).</w:t>
      </w:r>
    </w:p>
    <w:p>
      <w:pPr>
        <w:numPr>
          <w:ilvl w:val="0"/>
          <w:numId w:val="1009"/>
        </w:numPr>
        <w:pStyle w:val="Compact"/>
      </w:pPr>
      <w:r>
        <w:rPr>
          <w:bCs/>
          <w:b/>
        </w:rPr>
        <w:t xml:space="preserve">Scope 3 (Value Chain Emissions):</w:t>
      </w:r>
      <w:r>
        <w:t xml:space="preserve"> </w:t>
      </w:r>
    </w:p>
    <w:p>
      <w:pPr>
        <w:numPr>
          <w:ilvl w:val="0"/>
          <w:numId w:val="1000"/>
        </w:numPr>
        <w:pStyle w:val="Compact"/>
      </w:pPr>
      <w:r>
        <w:t xml:space="preserve">kg CO2e (Comprising material acquisition, transportation, use phase, and end-of-life impacts).</w:t>
      </w:r>
    </w:p>
    <w:p>
      <w:pPr>
        <w:pStyle w:val="FirstParagraph"/>
      </w:pPr>
      <w:r>
        <w:t xml:space="preserve">This report achieves over 95% coverage for Scope 3 emissions, aligning with the 2026 requirements, by comprehensively addressing upstream material impacts, logistics, product usage, and end-of-life scenarios.</w:t>
      </w:r>
    </w:p>
    <w:p>
      <w:pPr>
        <w:pStyle w:val="BodyText"/>
      </w:pPr>
      <w:r>
        <w:t xml:space="preserve">Applying the 2026 Land Sector and Removals (LSR) Standard, this analysis integrates the potential for carbon removals through circular economy initiatives, specifically acknowledged in the recycling credits within the End-of-Life phase, though detailed land use change emissions were not applicable or provided as specific parameters for this product\'s upstream processes.</w:t>
      </w:r>
    </w:p>
    <w:bookmarkEnd w:id="35"/>
    <w:bookmarkEnd w:id="36"/>
    <w:bookmarkStart w:id="39"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the calculations, the primary emission hotspots for</w:t>
      </w:r>
      <w:r>
        <w:t xml:space="preserve"> </w:t>
      </w:r>
      <w:r>
        <w:t xml:space="preserve">liqndqfxxd</w:t>
      </w:r>
      <w:r>
        <w:t xml:space="preserve"> </w:t>
      </w:r>
      <w:r>
        <w:t xml:space="preserve">are identified as:</w:t>
      </w:r>
    </w:p>
    <w:p>
      <w:pPr>
        <w:numPr>
          <w:ilvl w:val="0"/>
          <w:numId w:val="1010"/>
        </w:numPr>
        <w:pStyle w:val="Compact"/>
      </w:pPr>
      <w:r>
        <w:rPr>
          <w:bCs/>
          <w:b/>
        </w:rPr>
        <w:t xml:space="preserve">Material Acquisition &amp; Processing:</w:t>
      </w:r>
      <w:r>
        <w:t xml:space="preserve"> </w:t>
      </w:r>
      <w:r>
        <w:t xml:space="preserve">Accounting for</w:t>
      </w:r>
      <w:r>
        <w:t xml:space="preserve"> </w:t>
      </w:r>
    </w:p>
    <w:p>
      <w:pPr>
        <w:numPr>
          <w:ilvl w:val="0"/>
          <w:numId w:val="1000"/>
        </w:numPr>
        <w:pStyle w:val="Compact"/>
      </w:pPr>
      <w:r>
        <w:t xml:space="preserve">kg CO2e, this phase represents a significant portion of the total footprint, highlighting the importance of sustainable sourcing and material selection.</w:t>
      </w:r>
    </w:p>
    <w:p>
      <w:pPr>
        <w:numPr>
          <w:ilvl w:val="0"/>
          <w:numId w:val="1010"/>
        </w:numPr>
        <w:pStyle w:val="Compact"/>
      </w:pPr>
      <w:r>
        <w:rPr>
          <w:bCs/>
          <w:b/>
        </w:rPr>
        <w:t xml:space="preserve">Use Phase:</w:t>
      </w:r>
      <w:r>
        <w:t xml:space="preserve"> </w:t>
      </w:r>
      <w:r>
        <w:t xml:space="preserve">With</w:t>
      </w:r>
      <w:r>
        <w:t xml:space="preserve"> </w:t>
      </w:r>
    </w:p>
    <w:p>
      <w:pPr>
        <w:numPr>
          <w:ilvl w:val="0"/>
          <w:numId w:val="1000"/>
        </w:numPr>
        <w:pStyle w:val="Compact"/>
      </w:pPr>
      <w:r>
        <w:t xml:space="preserve">kg CO2e, the energy consumption during the product\'s lifespan is a critical area for reduction, especially given Europe\'s grid mix.</w:t>
      </w:r>
    </w:p>
    <w:p>
      <w:pPr>
        <w:numPr>
          <w:ilvl w:val="0"/>
          <w:numId w:val="1010"/>
        </w:numPr>
        <w:pStyle w:val="Compact"/>
      </w:pPr>
      <w:r>
        <w:rPr>
          <w:bCs/>
          <w:b/>
        </w:rPr>
        <w:t xml:space="preserve">Transportation:</w:t>
      </w:r>
      <w:r>
        <w:t xml:space="preserve"> </w:t>
      </w:r>
      <w:r>
        <w:t xml:space="preserve">Both upstream and downstream logistics contribute</w:t>
      </w:r>
      <w:r>
        <w:t xml:space="preserve"> </w:t>
      </w:r>
    </w:p>
    <w:p>
      <w:pPr>
        <w:numPr>
          <w:ilvl w:val="0"/>
          <w:numId w:val="1000"/>
        </w:numPr>
        <w:pStyle w:val="Compact"/>
      </w:pPr>
      <w:r>
        <w:t xml:space="preserve">kg CO2e, emphasizing the need for optimized routes and low-carbon transport modes.</w:t>
      </w:r>
    </w:p>
    <w:bookmarkEnd w:id="37"/>
    <w:bookmarkStart w:id="38" w:name="reliability-and-recommendations"/>
    <w:p>
      <w:pPr>
        <w:pStyle w:val="Heading3"/>
      </w:pPr>
      <w:r>
        <w:t xml:space="preserve">5.2. Reliability and Recommendations</w:t>
      </w:r>
    </w:p>
    <w:p>
      <w:pPr>
        <w:pStyle w:val="FirstParagraph"/>
      </w:pPr>
      <w:r>
        <w:t xml:space="preserve">The reliability of this PCF is high due to the use of a detailed Bill of Materials and adherence to the GHG Protocol. However, it\'s important to note that certain emission factors are based on industry averages and assumptions made for unspecified parameters (e.g., specific transport modes, last-mile distance, exact weights for \'unit\' BOM items). To further enhance accuracy, primary data collection for all supply chain tiers and specific energy consumption profiles for the use phase are recommended.</w:t>
      </w:r>
    </w:p>
    <w:p>
      <w:pPr>
        <w:pStyle w:val="BodyText"/>
      </w:pPr>
      <w:r>
        <w:rPr>
          <w:bCs/>
          <w:b/>
        </w:rPr>
        <w:t xml:space="preserve">Recommendations:</w:t>
      </w:r>
    </w:p>
    <w:p>
      <w:pPr>
        <w:numPr>
          <w:ilvl w:val="0"/>
          <w:numId w:val="1011"/>
        </w:numPr>
        <w:pStyle w:val="Compact"/>
      </w:pPr>
      <w:r>
        <w:rPr>
          <w:bCs/>
          <w:b/>
        </w:rPr>
        <w:t xml:space="preserve">Material Optimization:</w:t>
      </w:r>
      <w:r>
        <w:t xml:space="preserve"> </w:t>
      </w:r>
      <w:r>
        <w:t xml:space="preserve">Explore alternative materials with lower embedded carbon or increase the use of recycled content beyond current levels.</w:t>
      </w:r>
    </w:p>
    <w:p>
      <w:pPr>
        <w:numPr>
          <w:ilvl w:val="0"/>
          <w:numId w:val="1011"/>
        </w:numPr>
        <w:pStyle w:val="Compact"/>
      </w:pPr>
      <w:r>
        <w:rPr>
          <w:bCs/>
          <w:b/>
        </w:rPr>
        <w:t xml:space="preserve">Renewable Energy Sourcing:</w:t>
      </w:r>
      <w:r>
        <w:t xml:space="preserve"> </w:t>
      </w:r>
      <w:r>
        <w:t xml:space="preserve">Continue to increase renewable energy usage at the China production facility to further reduce Scope 2 emissions.</w:t>
      </w:r>
    </w:p>
    <w:p>
      <w:pPr>
        <w:numPr>
          <w:ilvl w:val="0"/>
          <w:numId w:val="1011"/>
        </w:numPr>
        <w:pStyle w:val="Compact"/>
      </w:pPr>
      <w:r>
        <w:rPr>
          <w:bCs/>
          <w:b/>
        </w:rPr>
        <w:t xml:space="preserve">Logistics Efficiency:</w:t>
      </w:r>
      <w:r>
        <w:t xml:space="preserve"> </w:t>
      </w:r>
      <w:r>
        <w:t xml:space="preserve">Optimize transportation networks, explore multimodal transport options (e.g., rail for longer distances within Europe), and collaborate with low-emission logistics providers.</w:t>
      </w:r>
    </w:p>
    <w:p>
      <w:pPr>
        <w:numPr>
          <w:ilvl w:val="0"/>
          <w:numId w:val="1011"/>
        </w:numPr>
        <w:pStyle w:val="Compact"/>
      </w:pPr>
      <w:r>
        <w:rPr>
          <w:bCs/>
          <w:b/>
        </w:rPr>
        <w:t xml:space="preserve">Use Phase Energy Efficiency:</w:t>
      </w:r>
      <w:r>
        <w:t xml:space="preserve"> </w:t>
      </w:r>
      <w:r>
        <w:t xml:space="preserve">Implement design improvements to reduce energy consumption during the product\'s lifespan and promote energy-efficient usage by end-users.</w:t>
      </w:r>
    </w:p>
    <w:p>
      <w:pPr>
        <w:numPr>
          <w:ilvl w:val="0"/>
          <w:numId w:val="1011"/>
        </w:numPr>
        <w:pStyle w:val="Compact"/>
      </w:pPr>
      <w:r>
        <w:rPr>
          <w:bCs/>
          <w:b/>
        </w:rPr>
        <w:t xml:space="preserve">Circular Economy Programs:</w:t>
      </w:r>
      <w:r>
        <w:t xml:space="preserve"> </w:t>
      </w:r>
      <w:r>
        <w:t xml:space="preserve">Strengthen existing circular/take-back programs (</w:t>
      </w:r>
      <w:r>
        <w:t xml:space="preserve">fkronjetlr</w:t>
      </w:r>
      <w:r>
        <w:t xml:space="preserve">) and investigate new initiatives to maximize material recovery and reuse, reducing reliance on virgin resources and minimizing end-of-life impacts.</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liqndqfxxd</dc:title>
  <dc:creator/>
  <dc:description>Detailed Product Carbon Footprint (PCF) analysis report for liqndqfxxd, conducted by Senior Sustainability Consultant rtgdqyqxlz, adhering to GHG Protocol standards and 2026 LSR Update requirements.</dc:description>
  <cp:keywords/>
  <dcterms:created xsi:type="dcterms:W3CDTF">2026-05-30T14:52:58Z</dcterms:created>
  <dcterms:modified xsi:type="dcterms:W3CDTF">2026-05-30T14:52:58Z</dcterms:modified>
</cp:coreProperties>
</file>

<file path=docProps/custom.xml><?xml version="1.0" encoding="utf-8"?>
<Properties xmlns="http://schemas.openxmlformats.org/officeDocument/2006/custom-properties" xmlns:vt="http://schemas.openxmlformats.org/officeDocument/2006/docPropsVTypes"/>
</file>